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EBB" w:rsidRDefault="00F51053">
      <w:pPr>
        <w:pStyle w:val="BodyText"/>
        <w:rPr>
          <w:rFonts w:ascii="Times New Roman"/>
          <w:b w:val="0"/>
        </w:rPr>
      </w:pPr>
      <w:r>
        <w:pict>
          <v:group id="_x0000_s1104" style="position:absolute;margin-left:0;margin-top:0;width:595.3pt;height:330.25pt;z-index:-254679040;mso-position-horizontal-relative:page;mso-position-vertical-relative:page" coordsize="11906,6605">
            <v:rect id="_x0000_s1109" style="position:absolute;top:3571;width:11906;height:3034" fillcolor="#f6f6f6" stroked="f"/>
            <v:shape id="_x0000_s1108" style="position:absolute;width:11906;height:3572" coordsize="11906,3572" path="m11906,2489l11906,,,,,3572r11906,l11906,3283r,-794e" fillcolor="#0e5d61"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7" type="#_x0000_t75" alt="An image showing the existing Crib Point Jetty " style="position:absolute;top:3571;width:11906;height:3034">
              <v:imagedata r:id="rId4" o:title=""/>
            </v:shape>
            <v:shapetype id="_x0000_t202" coordsize="21600,21600" o:spt="202" path="m,l,21600r21600,l21600,xe">
              <v:stroke joinstyle="miter"/>
              <v:path gradientshapeok="t" o:connecttype="rect"/>
            </v:shapetype>
            <v:shape id="_x0000_s1106" type="#_x0000_t202" style="position:absolute;left:1247;top:1252;width:4388;height:1330" filled="f" stroked="f">
              <v:textbox inset="0,0,0,0">
                <w:txbxContent>
                  <w:p w:rsidR="00C77EBB" w:rsidRDefault="00F51053">
                    <w:pPr>
                      <w:rPr>
                        <w:rFonts w:ascii="Mukta SemiBold"/>
                        <w:b/>
                        <w:sz w:val="80"/>
                      </w:rPr>
                    </w:pPr>
                    <w:r>
                      <w:rPr>
                        <w:rFonts w:ascii="Mukta SemiBold"/>
                        <w:b/>
                        <w:color w:val="FFFFFF"/>
                        <w:spacing w:val="-3"/>
                        <w:sz w:val="80"/>
                      </w:rPr>
                      <w:t xml:space="preserve">Glossary </w:t>
                    </w:r>
                    <w:r>
                      <w:rPr>
                        <w:rFonts w:ascii="Mukta SemiBold"/>
                        <w:b/>
                        <w:color w:val="FFFFFF"/>
                        <w:spacing w:val="-5"/>
                        <w:sz w:val="80"/>
                      </w:rPr>
                      <w:t>and</w:t>
                    </w:r>
                  </w:p>
                </w:txbxContent>
              </v:textbox>
            </v:shape>
            <v:shape id="_x0000_s1105" type="#_x0000_t202" style="position:absolute;left:1247;top:2052;width:4754;height:1330" filled="f" stroked="f">
              <v:textbox inset="0,0,0,0">
                <w:txbxContent>
                  <w:p w:rsidR="00C77EBB" w:rsidRDefault="00F51053">
                    <w:pPr>
                      <w:rPr>
                        <w:rFonts w:ascii="Mukta SemiBold"/>
                        <w:b/>
                        <w:sz w:val="80"/>
                      </w:rPr>
                    </w:pPr>
                    <w:r>
                      <w:rPr>
                        <w:rFonts w:ascii="Mukta SemiBold"/>
                        <w:b/>
                        <w:color w:val="FFFFFF"/>
                        <w:spacing w:val="-10"/>
                        <w:sz w:val="80"/>
                      </w:rPr>
                      <w:t>Abbreviations</w:t>
                    </w:r>
                  </w:p>
                </w:txbxContent>
              </v:textbox>
            </v:shape>
            <w10:wrap anchorx="page" anchory="page"/>
          </v:group>
        </w:pict>
      </w: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rPr>
          <w:rFonts w:ascii="Times New Roman"/>
          <w:b w:val="0"/>
        </w:rPr>
      </w:pPr>
    </w:p>
    <w:p w:rsidR="00C77EBB" w:rsidRDefault="00C77EBB">
      <w:pPr>
        <w:pStyle w:val="BodyText"/>
        <w:spacing w:before="3"/>
        <w:rPr>
          <w:rFonts w:ascii="Times New Roman"/>
          <w:b w:val="0"/>
          <w:sz w:val="23"/>
        </w:rPr>
      </w:pPr>
    </w:p>
    <w:p w:rsidR="00C77EBB" w:rsidRDefault="00F51053">
      <w:pPr>
        <w:pStyle w:val="BodyText"/>
        <w:spacing w:before="84"/>
        <w:ind w:left="107"/>
      </w:pPr>
      <w:r>
        <w:rPr>
          <w:color w:val="4D4D4F"/>
        </w:rPr>
        <w:t>Abbreviations</w:t>
      </w:r>
    </w:p>
    <w:p w:rsidR="00C77EBB" w:rsidRDefault="00C77EBB">
      <w:pPr>
        <w:spacing w:before="1"/>
        <w:rPr>
          <w:b/>
          <w:sz w:val="21"/>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7457"/>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309"/>
        </w:trPr>
        <w:tc>
          <w:tcPr>
            <w:tcW w:w="1955" w:type="dxa"/>
            <w:tcBorders>
              <w:bottom w:val="single" w:sz="18" w:space="0" w:color="D7D6C7"/>
            </w:tcBorders>
          </w:tcPr>
          <w:p w:rsidR="00C77EBB" w:rsidRDefault="00F51053">
            <w:pPr>
              <w:pStyle w:val="TableParagraph"/>
              <w:spacing w:before="44"/>
              <w:rPr>
                <w:sz w:val="16"/>
              </w:rPr>
            </w:pPr>
            <w:r>
              <w:rPr>
                <w:color w:val="4D4D4F"/>
                <w:sz w:val="16"/>
              </w:rPr>
              <w:t>AAASS</w:t>
            </w:r>
          </w:p>
        </w:tc>
        <w:tc>
          <w:tcPr>
            <w:tcW w:w="7457" w:type="dxa"/>
            <w:tcBorders>
              <w:bottom w:val="single" w:sz="18" w:space="0" w:color="D7D6C7"/>
            </w:tcBorders>
          </w:tcPr>
          <w:p w:rsidR="00C77EBB" w:rsidRDefault="00F51053">
            <w:pPr>
              <w:pStyle w:val="TableParagraph"/>
              <w:spacing w:before="44"/>
              <w:ind w:left="822"/>
              <w:rPr>
                <w:sz w:val="16"/>
              </w:rPr>
            </w:pPr>
            <w:r>
              <w:rPr>
                <w:color w:val="4D4D4F"/>
                <w:sz w:val="16"/>
              </w:rPr>
              <w:t>Atlas of Australian Acid Sulfate Soils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AASS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Actual acid sulfate soils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AADT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Average Annual Daily Traffic</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AAQ NEPM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National Environment Protection (Ambient Air Quality) Measure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ABS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Bureau of Statistics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ACCC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Competition and Consumer Commission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ACM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Asbestos containing material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ADCP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Acoustic Doppler Current Profilers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ADGSM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Domestic Gas Security Mechanism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AECOM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AECOM Australia Pty Ltd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AEMO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Energy Market Operator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AER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Energy Regulator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AERMOD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American Meteorological Society/Environment Protection Agency Regulatory Model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AGL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AGL Wholesale Gas Limited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AHD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Height Datum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AIE</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Industrial Energy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ALARP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As Low as Reasonably Practicable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ANZECC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 New Zealand Environment a</w:t>
            </w:r>
            <w:r>
              <w:rPr>
                <w:color w:val="4D4D4F"/>
                <w:sz w:val="16"/>
              </w:rPr>
              <w:t>nd Conservation Council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APA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APA Transmission Pty Limited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API</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American Petroleum Institute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APGA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Pipelines and Gas Association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AQIS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Quarantine and Inspection Service</w:t>
            </w:r>
          </w:p>
        </w:tc>
      </w:tr>
    </w:tbl>
    <w:p w:rsidR="00C77EBB" w:rsidRDefault="00C77EBB">
      <w:pPr>
        <w:rPr>
          <w:sz w:val="16"/>
        </w:rPr>
        <w:sectPr w:rsidR="00C77EBB">
          <w:type w:val="continuous"/>
          <w:pgSz w:w="11910" w:h="16840"/>
          <w:pgMar w:top="0" w:right="1140" w:bottom="280" w:left="1140" w:header="720" w:footer="720" w:gutter="0"/>
          <w:cols w:space="720"/>
        </w:sectPr>
      </w:pPr>
    </w:p>
    <w:p w:rsidR="00C77EBB" w:rsidRDefault="00F51053">
      <w:pPr>
        <w:rPr>
          <w:b/>
          <w:sz w:val="20"/>
        </w:rPr>
      </w:pPr>
      <w:r>
        <w:lastRenderedPageBreak/>
        <w:pict>
          <v:rect id="_x0000_s1103" style="position:absolute;margin-left:0;margin-top:124.5pt;width:14.15pt;height:39.7pt;z-index:251661312;mso-position-horizontal-relative:page;mso-position-vertical-relative:page" fillcolor="#0e5d61" stroked="f">
            <w10:wrap anchorx="page" anchory="page"/>
          </v:rect>
        </w:pict>
      </w:r>
      <w:r>
        <w:pict>
          <v:group id="_x0000_s1098" style="position:absolute;margin-left:0;margin-top:37.4pt;width:532.95pt;height:25.2pt;z-index:-254674944;mso-position-horizontal-relative:page;mso-position-vertical-relative:page" coordorigin=",748" coordsize="10659,504">
            <v:line id="_x0000_s1102" style="position:absolute" from="1290,748" to="1290,1247" strokecolor="#0e5d61" strokeweight="1.5mm"/>
            <v:line id="_x0000_s1101" style="position:absolute" from="0,1247" to="10658,1247" strokecolor="#808285" strokeweight=".5pt"/>
            <v:shape id="_x0000_s1100" type="#_x0000_t202" style="position:absolute;left:510;top:802;width:176;height:355" filled="f" stroked="f">
              <v:textbox inset="0,0,0,0">
                <w:txbxContent>
                  <w:p w:rsidR="00C77EBB" w:rsidRDefault="00F51053">
                    <w:pPr>
                      <w:spacing w:line="334" w:lineRule="exact"/>
                      <w:rPr>
                        <w:b/>
                        <w:sz w:val="26"/>
                      </w:rPr>
                    </w:pPr>
                    <w:r>
                      <w:rPr>
                        <w:b/>
                        <w:color w:val="4D4D4F"/>
                        <w:sz w:val="26"/>
                      </w:rPr>
                      <w:t>8</w:t>
                    </w:r>
                  </w:p>
                </w:txbxContent>
              </v:textbox>
            </v:shape>
            <v:shape id="_x0000_s1099"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7457"/>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AQM</w:t>
            </w:r>
          </w:p>
        </w:tc>
        <w:tc>
          <w:tcPr>
            <w:tcW w:w="7457" w:type="dxa"/>
            <w:tcBorders>
              <w:bottom w:val="single" w:sz="18" w:space="0" w:color="D7D6C7"/>
            </w:tcBorders>
          </w:tcPr>
          <w:p w:rsidR="00C77EBB" w:rsidRDefault="00F51053">
            <w:pPr>
              <w:pStyle w:val="TableParagraph"/>
              <w:spacing w:before="24"/>
              <w:ind w:left="822"/>
              <w:rPr>
                <w:sz w:val="16"/>
              </w:rPr>
            </w:pPr>
            <w:r>
              <w:rPr>
                <w:color w:val="4D4D4F"/>
                <w:sz w:val="16"/>
              </w:rPr>
              <w:t>Air Quality Management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ARMCANZ</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Agriculture and Resource Management Council of Australia and New Zealand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Standard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Artefact Scatter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ASS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Acid sulfate soil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ASSMP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Acid Sulfate Soils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ATO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Australian Taxation Office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BLCAC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Bunurong Land Council Aboriginal Corporation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BoM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Bureau of Meteorology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BP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British Petroleum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BPMG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Best Practice Guidelines for Assessing and Managing Coastal Acid Sulfate Soils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Br</w:t>
            </w:r>
            <w:r>
              <w:rPr>
                <w:color w:val="4D4D4F"/>
                <w:sz w:val="16"/>
              </w:rPr>
              <w: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Bromide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CaLP Act</w:t>
            </w:r>
          </w:p>
        </w:tc>
        <w:tc>
          <w:tcPr>
            <w:tcW w:w="7457" w:type="dxa"/>
            <w:tcBorders>
              <w:top w:val="single" w:sz="18" w:space="0" w:color="D7D6C7"/>
              <w:bottom w:val="single" w:sz="18" w:space="0" w:color="D7D6C7"/>
            </w:tcBorders>
          </w:tcPr>
          <w:p w:rsidR="00C77EBB" w:rsidRDefault="00F51053">
            <w:pPr>
              <w:pStyle w:val="TableParagraph"/>
              <w:ind w:left="822"/>
              <w:rPr>
                <w:i/>
                <w:sz w:val="16"/>
              </w:rPr>
            </w:pPr>
            <w:r>
              <w:rPr>
                <w:i/>
                <w:color w:val="4D4D4F"/>
                <w:sz w:val="16"/>
              </w:rPr>
              <w:t>Catchment and Land Protection Act 1994</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CAMBA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China – Australia Migratory Bird Agreement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CASS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Coastal acid sulfate soils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CCTV</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Closed-circuit Television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CEE</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CEE Pty Ltd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CEMP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Constr</w:t>
            </w:r>
            <w:bookmarkStart w:id="0" w:name="_GoBack"/>
            <w:bookmarkEnd w:id="0"/>
            <w:r>
              <w:rPr>
                <w:color w:val="4D4D4F"/>
                <w:sz w:val="16"/>
              </w:rPr>
              <w:t>uction Environmental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CHMP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Cultural Heritage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9"/>
              </w:rPr>
            </w:pPr>
            <w:r>
              <w:rPr>
                <w:color w:val="4D4D4F"/>
                <w:sz w:val="16"/>
              </w:rPr>
              <w:t>Cl</w:t>
            </w:r>
            <w:r>
              <w:rPr>
                <w:color w:val="4D4D4F"/>
                <w:position w:val="5"/>
                <w:sz w:val="9"/>
              </w:rPr>
              <w: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Chloride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line="245" w:lineRule="exact"/>
              <w:rPr>
                <w:sz w:val="9"/>
              </w:rPr>
            </w:pPr>
            <w:r>
              <w:rPr>
                <w:color w:val="4D4D4F"/>
                <w:sz w:val="16"/>
              </w:rPr>
              <w:t>Cl</w:t>
            </w:r>
            <w:r>
              <w:rPr>
                <w:color w:val="4D4D4F"/>
                <w:position w:val="-4"/>
                <w:sz w:val="9"/>
              </w:rPr>
              <w:t>2</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Chlorine gas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Carbon monoxide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CPI</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Consumer Price Index</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CPO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Chlorine-produced oxidants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CPS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Components, processes and services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CSG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Coal seam gas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CSIRO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Commonwealth Scientific and Industrial Research Organisation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Cth</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Commonwealth</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CUN</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Clean up Notice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CWIS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Cooling water intake structures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DAWE</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Department of Agriculture, Water and the Environment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Db(A)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Decibels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DELWP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Department of Environment, Land, Water and Planning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DES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Delivered Ex Ship</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ECD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Site Ecological Character Description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EES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Environment Effects Statement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EGP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Eastern Gas Pipeline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EMF</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Environmental Management Framework</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97" style="position:absolute;margin-left:581.1pt;margin-top:124.5pt;width:14.15pt;height:39.7pt;z-index:251665408;mso-position-horizontal-relative:page;mso-position-vertical-relative:page" fillcolor="#0e5d61" stroked="f">
            <w10:wrap anchorx="page" anchory="page"/>
          </v:rect>
        </w:pict>
      </w:r>
      <w:r>
        <w:pict>
          <v:group id="_x0000_s1092" style="position:absolute;margin-left:62.35pt;margin-top:37.4pt;width:532.95pt;height:25.2pt;z-index:251668480;mso-position-horizontal-relative:page;mso-position-vertical-relative:page" coordorigin="1247,748" coordsize="10659,504">
            <v:line id="_x0000_s1096" style="position:absolute" from="10616,748" to="10616,1247" strokecolor="#0e5d61" strokeweight="1.5mm"/>
            <v:line id="_x0000_s1095" style="position:absolute" from="1247,1247" to="11906,1247" strokecolor="#808285" strokeweight=".5pt"/>
            <v:shape id="_x0000_s1094"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93" type="#_x0000_t202" style="position:absolute;left:11239;top:802;width:176;height:355" filled="f" stroked="f">
              <v:textbox inset="0,0,0,0">
                <w:txbxContent>
                  <w:p w:rsidR="00C77EBB" w:rsidRDefault="00F51053">
                    <w:pPr>
                      <w:spacing w:line="334" w:lineRule="exact"/>
                      <w:rPr>
                        <w:b/>
                        <w:sz w:val="26"/>
                      </w:rPr>
                    </w:pPr>
                    <w:r>
                      <w:rPr>
                        <w:b/>
                        <w:color w:val="4D4D4F"/>
                        <w:sz w:val="26"/>
                      </w:rPr>
                      <w:t>9</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1374"/>
        <w:gridCol w:w="6083"/>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gridSpan w:val="2"/>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EMP</w:t>
            </w:r>
          </w:p>
        </w:tc>
        <w:tc>
          <w:tcPr>
            <w:tcW w:w="7457" w:type="dxa"/>
            <w:gridSpan w:val="2"/>
            <w:tcBorders>
              <w:bottom w:val="single" w:sz="18" w:space="0" w:color="D7D6C7"/>
            </w:tcBorders>
          </w:tcPr>
          <w:p w:rsidR="00C77EBB" w:rsidRDefault="00F51053">
            <w:pPr>
              <w:pStyle w:val="TableParagraph"/>
              <w:spacing w:before="24"/>
              <w:ind w:left="822"/>
              <w:rPr>
                <w:sz w:val="16"/>
              </w:rPr>
            </w:pPr>
            <w:r>
              <w:rPr>
                <w:color w:val="4D4D4F"/>
                <w:sz w:val="16"/>
              </w:rPr>
              <w:t>Environmental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EOLSS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End of Line Scraper Station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EPA Victoria</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Environment Protection Authority Victoria</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EPBC Act</w:t>
            </w:r>
          </w:p>
        </w:tc>
        <w:tc>
          <w:tcPr>
            <w:tcW w:w="7457" w:type="dxa"/>
            <w:gridSpan w:val="2"/>
            <w:tcBorders>
              <w:top w:val="single" w:sz="18" w:space="0" w:color="D7D6C7"/>
              <w:bottom w:val="single" w:sz="18" w:space="0" w:color="D7D6C7"/>
            </w:tcBorders>
          </w:tcPr>
          <w:p w:rsidR="00C77EBB" w:rsidRDefault="00F51053">
            <w:pPr>
              <w:pStyle w:val="TableParagraph"/>
              <w:ind w:left="822"/>
              <w:rPr>
                <w:i/>
                <w:sz w:val="16"/>
              </w:rPr>
            </w:pPr>
            <w:r>
              <w:rPr>
                <w:i/>
                <w:color w:val="4D4D4F"/>
                <w:sz w:val="16"/>
              </w:rPr>
              <w:t>Environment Protection and Biodiversity Conservation Act 1999</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ERS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Environment reference standard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ESV</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Energy Safe Victoria</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EVC</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Ecological vegetation class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FAFR</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Flinders Aquatic Fisheries Reserve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FCV</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Flow control valve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FFG Act</w:t>
            </w:r>
          </w:p>
        </w:tc>
        <w:tc>
          <w:tcPr>
            <w:tcW w:w="7457" w:type="dxa"/>
            <w:gridSpan w:val="2"/>
            <w:tcBorders>
              <w:top w:val="single" w:sz="18" w:space="0" w:color="D7D6C7"/>
              <w:bottom w:val="single" w:sz="18" w:space="0" w:color="D7D6C7"/>
            </w:tcBorders>
          </w:tcPr>
          <w:p w:rsidR="00C77EBB" w:rsidRDefault="00F51053">
            <w:pPr>
              <w:pStyle w:val="TableParagraph"/>
              <w:ind w:left="822"/>
              <w:rPr>
                <w:i/>
                <w:sz w:val="16"/>
              </w:rPr>
            </w:pPr>
            <w:r>
              <w:rPr>
                <w:i/>
                <w:color w:val="4D4D4F"/>
                <w:sz w:val="16"/>
              </w:rPr>
              <w:t>Flora and Fauna Guarantee Act 1998</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FSRU</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Floating storage and regasification unit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GDE</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Groundwater dependent ecosystem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GDE Atlas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Groundwater Dependent Ecosystems Atlas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GGF</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Growling Grass Frog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GHG</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Greenhouse gas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GIS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Geographic information systems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GJ</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Gigajoule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GMU</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Geomorphological unit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GPG</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Gas Powered Generation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GQMP</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Gas Quality Monitoring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GQRUZ</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Groundwater Quality Restricted Use Zones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Grams per second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GSOO</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Gas statement of opportunities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Ha</w:t>
            </w:r>
          </w:p>
        </w:tc>
        <w:tc>
          <w:tcPr>
            <w:tcW w:w="1374" w:type="dxa"/>
            <w:tcBorders>
              <w:top w:val="single" w:sz="18" w:space="0" w:color="D7D6C7"/>
              <w:bottom w:val="single" w:sz="18" w:space="0" w:color="D7D6C7"/>
            </w:tcBorders>
          </w:tcPr>
          <w:p w:rsidR="00C77EBB" w:rsidRDefault="00F51053">
            <w:pPr>
              <w:pStyle w:val="TableParagraph"/>
              <w:ind w:left="0" w:right="-44"/>
              <w:jc w:val="right"/>
              <w:rPr>
                <w:sz w:val="16"/>
              </w:rPr>
            </w:pPr>
            <w:r>
              <w:rPr>
                <w:color w:val="4D4D4F"/>
                <w:sz w:val="16"/>
              </w:rPr>
              <w:t>Hectare</w:t>
            </w:r>
          </w:p>
        </w:tc>
        <w:tc>
          <w:tcPr>
            <w:tcW w:w="6083"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HAT</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Highest astronomical tide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HAZID</w:t>
            </w:r>
          </w:p>
        </w:tc>
        <w:tc>
          <w:tcPr>
            <w:tcW w:w="1374" w:type="dxa"/>
            <w:tcBorders>
              <w:top w:val="single" w:sz="18" w:space="0" w:color="D7D6C7"/>
              <w:bottom w:val="single" w:sz="18" w:space="0" w:color="D7D6C7"/>
            </w:tcBorders>
          </w:tcPr>
          <w:p w:rsidR="00C77EBB" w:rsidRDefault="00F51053">
            <w:pPr>
              <w:pStyle w:val="TableParagraph"/>
              <w:ind w:left="0" w:right="19"/>
              <w:jc w:val="right"/>
              <w:rPr>
                <w:sz w:val="16"/>
              </w:rPr>
            </w:pPr>
            <w:r>
              <w:rPr>
                <w:color w:val="4D4D4F"/>
                <w:sz w:val="16"/>
              </w:rPr>
              <w:t>Hazard</w:t>
            </w:r>
          </w:p>
        </w:tc>
        <w:tc>
          <w:tcPr>
            <w:tcW w:w="6083" w:type="dxa"/>
            <w:tcBorders>
              <w:top w:val="single" w:sz="18" w:space="0" w:color="D7D6C7"/>
              <w:bottom w:val="single" w:sz="18" w:space="0" w:color="D7D6C7"/>
            </w:tcBorders>
          </w:tcPr>
          <w:p w:rsidR="00C77EBB" w:rsidRDefault="00F51053">
            <w:pPr>
              <w:pStyle w:val="TableParagraph"/>
              <w:ind w:left="20"/>
              <w:rPr>
                <w:sz w:val="16"/>
              </w:rPr>
            </w:pPr>
            <w:r>
              <w:rPr>
                <w:color w:val="4D4D4F"/>
                <w:sz w:val="16"/>
              </w:rPr>
              <w:t>Identification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HAZOP</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Hazard and Operability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HDD</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Horizontal directional drilling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HIPAP</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Hazardous Industry Planning Advisory Paper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HML</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Higher Mass Limits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HOCI</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Hypochlorous acid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HSE</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Health safety and environment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HZ</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Habitat zone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IAQM</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Institute of Air Quality Management (IAQM) United Kingdom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ICCP</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Impressed current cathodic protection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ICNG</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Interim Construction Noise Guideline (NSW Government)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IECA</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International Erosion Control Association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ILs</w:t>
            </w:r>
          </w:p>
        </w:tc>
        <w:tc>
          <w:tcPr>
            <w:tcW w:w="7457" w:type="dxa"/>
            <w:gridSpan w:val="2"/>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Investigation Levels</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91" style="position:absolute;margin-left:0;margin-top:124.5pt;width:14.15pt;height:39.7pt;z-index:251669504;mso-position-horizontal-relative:page;mso-position-vertical-relative:page" fillcolor="#0e5d61" stroked="f">
            <w10:wrap anchorx="page" anchory="page"/>
          </v:rect>
        </w:pict>
      </w:r>
      <w:r>
        <w:pict>
          <v:group id="_x0000_s1086" style="position:absolute;margin-left:0;margin-top:37.4pt;width:532.95pt;height:25.2pt;z-index:-254666752;mso-position-horizontal-relative:page;mso-position-vertical-relative:page" coordorigin=",748" coordsize="10659,504">
            <v:line id="_x0000_s1090" style="position:absolute" from="1290,748" to="1290,1247" strokecolor="#0e5d61" strokeweight="1.5mm"/>
            <v:line id="_x0000_s1089" style="position:absolute" from="0,1247" to="10658,1247" strokecolor="#808285" strokeweight=".5pt"/>
            <v:shape id="_x0000_s1088" type="#_x0000_t202" style="position:absolute;left:510;top:802;width:325;height:355" filled="f" stroked="f">
              <v:textbox inset="0,0,0,0">
                <w:txbxContent>
                  <w:p w:rsidR="00C77EBB" w:rsidRDefault="00F51053">
                    <w:pPr>
                      <w:spacing w:line="334" w:lineRule="exact"/>
                      <w:rPr>
                        <w:b/>
                        <w:sz w:val="26"/>
                      </w:rPr>
                    </w:pPr>
                    <w:r>
                      <w:rPr>
                        <w:b/>
                        <w:color w:val="4D4D4F"/>
                        <w:sz w:val="26"/>
                      </w:rPr>
                      <w:t>10</w:t>
                    </w:r>
                  </w:p>
                </w:txbxContent>
              </v:textbox>
            </v:shape>
            <v:shape id="_x0000_s1087"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7457"/>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IPCC</w:t>
            </w:r>
          </w:p>
        </w:tc>
        <w:tc>
          <w:tcPr>
            <w:tcW w:w="7457" w:type="dxa"/>
            <w:tcBorders>
              <w:bottom w:val="single" w:sz="18" w:space="0" w:color="D7D6C7"/>
            </w:tcBorders>
          </w:tcPr>
          <w:p w:rsidR="00C77EBB" w:rsidRDefault="00F51053">
            <w:pPr>
              <w:pStyle w:val="TableParagraph"/>
              <w:spacing w:before="24"/>
              <w:ind w:left="822"/>
              <w:rPr>
                <w:sz w:val="16"/>
              </w:rPr>
            </w:pPr>
            <w:r>
              <w:rPr>
                <w:color w:val="4D4D4F"/>
                <w:sz w:val="16"/>
              </w:rPr>
              <w:t>Intergovernmental Panel on Climate Change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ISQG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Interim sediment quality guideline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IWRG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Industrial Waste Resource Guidelines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JAMBA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Japan-Australia Migratory Bird Agreement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Kilogram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Kg/day</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Kilogram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Kilolitre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Kilometre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Km/hr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Kilometres per hour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Kilometre point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kPag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 Pascal gauge pressure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Kscm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 standard cubic meters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KWR WSPA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Koo Wee Rup Water Supply Protection Area</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9"/>
              </w:rPr>
            </w:pPr>
            <w:r>
              <w:rPr>
                <w:color w:val="4D4D4F"/>
                <w:sz w:val="16"/>
              </w:rPr>
              <w:t>kW/m</w:t>
            </w:r>
            <w:r>
              <w:rPr>
                <w:color w:val="4D4D4F"/>
                <w:position w:val="5"/>
                <w:sz w:val="9"/>
              </w:rPr>
              <w:t>2</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Kilowatt per square metre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Litre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LAC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Limits of Acceptable Change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LAT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Lowest astronomical tide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LDAD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Low Density Artefact Distribution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LGA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Local Government Area</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LNG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Liquefied natural gas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LOS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Level of Service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LOR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Limit of reporting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LPG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Liquid petroleum gas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LPPF</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Local Planning Policy Framework</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LSIO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Land Subject to Inundation Overlay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LSIR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Location Specific Individual Risk</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Metres per second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MAP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Moomba to Adelaide Pipeline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MAOP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Maximum allowable operating pressure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Mbgl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Metres below ground level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mbgs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Metres below ground surface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mbtoc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Metres below top of casing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MHF</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Major hazard facility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18"/>
              <w:rPr>
                <w:sz w:val="9"/>
              </w:rPr>
            </w:pPr>
            <w:r>
              <w:rPr>
                <w:color w:val="4D4D4F"/>
                <w:position w:val="-4"/>
                <w:sz w:val="16"/>
              </w:rPr>
              <w:t>m</w:t>
            </w:r>
            <w:r>
              <w:rPr>
                <w:color w:val="4D4D4F"/>
                <w:sz w:val="9"/>
              </w:rPr>
              <w:t>3</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Cubic metres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w:t>
            </w:r>
            <w:r>
              <w:rPr>
                <w:color w:val="4D4D4F"/>
                <w:position w:val="5"/>
                <w:sz w:val="9"/>
              </w:rPr>
              <w:t>3</w:t>
            </w:r>
            <w:r>
              <w:rPr>
                <w:color w:val="4D4D4F"/>
                <w:sz w:val="16"/>
              </w:rPr>
              <w:t>/d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Cubic metres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w:t>
            </w:r>
            <w:r>
              <w:rPr>
                <w:color w:val="4D4D4F"/>
                <w:position w:val="5"/>
                <w:sz w:val="9"/>
              </w:rPr>
              <w:t>3</w:t>
            </w:r>
            <w:r>
              <w:rPr>
                <w:color w:val="4D4D4F"/>
                <w:sz w:val="16"/>
              </w:rPr>
              <w:t>/hr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Cubic metres per hour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mg/L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Milligrams per litre</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85" style="position:absolute;margin-left:581.1pt;margin-top:124.5pt;width:14.15pt;height:39.7pt;z-index:251673600;mso-position-horizontal-relative:page;mso-position-vertical-relative:page" fillcolor="#0e5d61" stroked="f">
            <w10:wrap anchorx="page" anchory="page"/>
          </v:rect>
        </w:pict>
      </w:r>
      <w:r>
        <w:pict>
          <v:group id="_x0000_s1080" style="position:absolute;margin-left:62.35pt;margin-top:37.4pt;width:532.95pt;height:25.2pt;z-index:251676672;mso-position-horizontal-relative:page;mso-position-vertical-relative:page" coordorigin="1247,748" coordsize="10659,504">
            <v:line id="_x0000_s1084" style="position:absolute" from="10616,748" to="10616,1247" strokecolor="#0e5d61" strokeweight="1.5mm"/>
            <v:line id="_x0000_s1083" style="position:absolute" from="1247,1247" to="11906,1247" strokecolor="#808285" strokeweight=".5pt"/>
            <v:shape id="_x0000_s1082"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81" type="#_x0000_t202" style="position:absolute;left:11090;top:802;width:317;height:355" filled="f" stroked="f">
              <v:textbox inset="0,0,0,0">
                <w:txbxContent>
                  <w:p w:rsidR="00C77EBB" w:rsidRDefault="00F51053">
                    <w:pPr>
                      <w:spacing w:line="334" w:lineRule="exact"/>
                      <w:rPr>
                        <w:b/>
                        <w:sz w:val="26"/>
                      </w:rPr>
                    </w:pPr>
                    <w:r>
                      <w:rPr>
                        <w:b/>
                        <w:color w:val="4D4D4F"/>
                        <w:sz w:val="26"/>
                      </w:rPr>
                      <w:t>11</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2027"/>
        <w:gridCol w:w="5430"/>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202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c>
          <w:tcPr>
            <w:tcW w:w="5430" w:type="dxa"/>
            <w:shd w:val="clear" w:color="auto" w:fill="0E5D61"/>
          </w:tcPr>
          <w:p w:rsidR="00C77EBB" w:rsidRDefault="00C77EBB">
            <w:pPr>
              <w:pStyle w:val="TableParagraph"/>
              <w:spacing w:before="0"/>
              <w:ind w:left="0"/>
              <w:rPr>
                <w:rFonts w:ascii="Times New Roman"/>
                <w:sz w:val="16"/>
              </w:rPr>
            </w:pP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ML/day</w:t>
            </w:r>
          </w:p>
        </w:tc>
        <w:tc>
          <w:tcPr>
            <w:tcW w:w="7457" w:type="dxa"/>
            <w:gridSpan w:val="2"/>
            <w:tcBorders>
              <w:bottom w:val="single" w:sz="18" w:space="0" w:color="D7D6C7"/>
            </w:tcBorders>
          </w:tcPr>
          <w:p w:rsidR="00C77EBB" w:rsidRDefault="00F51053">
            <w:pPr>
              <w:pStyle w:val="TableParagraph"/>
              <w:spacing w:before="24"/>
              <w:ind w:left="822"/>
              <w:rPr>
                <w:sz w:val="16"/>
              </w:rPr>
            </w:pPr>
            <w:r>
              <w:rPr>
                <w:color w:val="4D4D4F"/>
                <w:sz w:val="16"/>
              </w:rPr>
              <w:t>Megalitres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ML</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Measurement Length</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MLA</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Marine loading arm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MLV</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Mainline valve</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mm</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Millimetre</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mmscf/day</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Million standard cubic feet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MMscfd</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Million standard cubic feet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MNES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Matters of National Environmental Significance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MSO</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Minimum send out compressor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MSP</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Moomba to Sydney Pipeline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line="245" w:lineRule="exact"/>
              <w:rPr>
                <w:sz w:val="16"/>
              </w:rPr>
            </w:pPr>
            <w:r>
              <w:rPr>
                <w:color w:val="4D4D4F"/>
                <w:sz w:val="16"/>
              </w:rPr>
              <w:t>Mt CO</w:t>
            </w:r>
            <w:r>
              <w:rPr>
                <w:color w:val="4D4D4F"/>
                <w:position w:val="-4"/>
                <w:sz w:val="9"/>
              </w:rPr>
              <w:t>2</w:t>
            </w:r>
            <w:r>
              <w:rPr>
                <w:color w:val="4D4D4F"/>
                <w:sz w:val="16"/>
              </w:rPr>
              <w:t>-e</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mega-tonnes of carbon dioxide equivalent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MW</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Megawatt</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MW</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Monitoring well</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NATA</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National Association of Testing Authorities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NEM</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National Electricity Market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NGER</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National Greenhouse and Energy Reporting</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NGP</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Northern Gas Pipeline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NHVR</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National Heavy Vehicle Regulator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NIMS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Non-indigenous marine species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NIRV</w:t>
            </w:r>
          </w:p>
        </w:tc>
        <w:tc>
          <w:tcPr>
            <w:tcW w:w="7457" w:type="dxa"/>
            <w:gridSpan w:val="2"/>
            <w:tcBorders>
              <w:top w:val="single" w:sz="18" w:space="0" w:color="D7D6C7"/>
              <w:bottom w:val="single" w:sz="18" w:space="0" w:color="D7D6C7"/>
            </w:tcBorders>
          </w:tcPr>
          <w:p w:rsidR="00C77EBB" w:rsidRDefault="00F51053">
            <w:pPr>
              <w:pStyle w:val="TableParagraph"/>
              <w:ind w:left="863" w:right="1248"/>
              <w:jc w:val="center"/>
              <w:rPr>
                <w:i/>
                <w:sz w:val="16"/>
              </w:rPr>
            </w:pPr>
            <w:r>
              <w:rPr>
                <w:color w:val="4D4D4F"/>
                <w:sz w:val="16"/>
              </w:rPr>
              <w:t xml:space="preserve">EPA Publication 1411: </w:t>
            </w:r>
            <w:r>
              <w:rPr>
                <w:i/>
                <w:color w:val="4D4D4F"/>
                <w:sz w:val="16"/>
              </w:rPr>
              <w:t>Guidelines: Noise from Industry in Regional Victoria</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NVIM</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Native Vegetation Informat</w:t>
            </w:r>
            <w:r>
              <w:rPr>
                <w:color w:val="4D4D4F"/>
                <w:sz w:val="16"/>
              </w:rPr>
              <w:t>ion Management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line="245" w:lineRule="exact"/>
              <w:rPr>
                <w:sz w:val="9"/>
              </w:rPr>
            </w:pPr>
            <w:r>
              <w:rPr>
                <w:color w:val="4D4D4F"/>
                <w:sz w:val="16"/>
              </w:rPr>
              <w:t>NO</w:t>
            </w:r>
            <w:r>
              <w:rPr>
                <w:color w:val="4D4D4F"/>
                <w:position w:val="-4"/>
                <w:sz w:val="9"/>
              </w:rPr>
              <w:t>2</w:t>
            </w:r>
          </w:p>
        </w:tc>
        <w:tc>
          <w:tcPr>
            <w:tcW w:w="2027" w:type="dxa"/>
            <w:tcBorders>
              <w:top w:val="single" w:sz="18" w:space="0" w:color="D7D6C7"/>
              <w:bottom w:val="single" w:sz="18" w:space="0" w:color="D7D6C7"/>
            </w:tcBorders>
          </w:tcPr>
          <w:p w:rsidR="00C77EBB" w:rsidRDefault="00F51053">
            <w:pPr>
              <w:pStyle w:val="TableParagraph"/>
              <w:ind w:left="822" w:right="-15"/>
              <w:rPr>
                <w:sz w:val="16"/>
              </w:rPr>
            </w:pPr>
            <w:r>
              <w:rPr>
                <w:color w:val="4D4D4F"/>
                <w:spacing w:val="2"/>
                <w:sz w:val="16"/>
              </w:rPr>
              <w:t>Nitrogen</w:t>
            </w:r>
            <w:r>
              <w:rPr>
                <w:color w:val="4D4D4F"/>
                <w:spacing w:val="8"/>
                <w:sz w:val="16"/>
              </w:rPr>
              <w:t xml:space="preserve"> </w:t>
            </w:r>
            <w:r>
              <w:rPr>
                <w:color w:val="4D4D4F"/>
                <w:sz w:val="16"/>
              </w:rPr>
              <w:t>dioxide</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line="245" w:lineRule="exact"/>
              <w:rPr>
                <w:sz w:val="9"/>
              </w:rPr>
            </w:pPr>
            <w:r>
              <w:rPr>
                <w:color w:val="4D4D4F"/>
                <w:sz w:val="16"/>
              </w:rPr>
              <w:t>NO</w:t>
            </w:r>
            <w:r>
              <w:rPr>
                <w:color w:val="4D4D4F"/>
                <w:position w:val="-4"/>
                <w:sz w:val="9"/>
              </w:rPr>
              <w:t>x</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Oxides of nitrogen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9"/>
              </w:rPr>
            </w:pPr>
            <w:r>
              <w:rPr>
                <w:color w:val="4D4D4F"/>
                <w:sz w:val="16"/>
              </w:rPr>
              <w:t>OCl</w:t>
            </w:r>
            <w:r>
              <w:rPr>
                <w:color w:val="4D4D4F"/>
                <w:position w:val="5"/>
                <w:sz w:val="9"/>
              </w:rPr>
              <w:t>-</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Hypochlorite</w:t>
            </w:r>
          </w:p>
        </w:tc>
        <w:tc>
          <w:tcPr>
            <w:tcW w:w="5430"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OEMP</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Operational Environmental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OHS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Occupational Health and Safety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PAH</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Polycyclic aromatic hydrocarbon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PAHs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Polycyclic aromatic hydrocarbons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PAN</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Pollution Abatement Notice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PASS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Potential Acid Sulfate Soils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PC</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Principal Contractor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PEM</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Protocol for Environmental Management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PFAS</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Per- and polyfluoroalkyl substances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PFOS</w:t>
            </w:r>
          </w:p>
        </w:tc>
        <w:tc>
          <w:tcPr>
            <w:tcW w:w="202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Perfluorooctane</w:t>
            </w:r>
          </w:p>
        </w:tc>
        <w:tc>
          <w:tcPr>
            <w:tcW w:w="5430" w:type="dxa"/>
            <w:tcBorders>
              <w:top w:val="single" w:sz="18" w:space="0" w:color="D7D6C7"/>
              <w:bottom w:val="single" w:sz="18" w:space="0" w:color="D7D6C7"/>
            </w:tcBorders>
          </w:tcPr>
          <w:p w:rsidR="00C77EBB" w:rsidRDefault="00F51053">
            <w:pPr>
              <w:pStyle w:val="TableParagraph"/>
              <w:ind w:left="19"/>
              <w:rPr>
                <w:sz w:val="16"/>
              </w:rPr>
            </w:pPr>
            <w:r>
              <w:rPr>
                <w:color w:val="4D4D4F"/>
                <w:sz w:val="16"/>
              </w:rPr>
              <w:t>sulfonate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PGC</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Primary Grid Coordinate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pig</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Inline pipeline inspection gauge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PIG</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Pipeline Inspection Gauge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PIANC</w:t>
            </w:r>
          </w:p>
        </w:tc>
        <w:tc>
          <w:tcPr>
            <w:tcW w:w="7457" w:type="dxa"/>
            <w:gridSpan w:val="2"/>
            <w:tcBorders>
              <w:top w:val="single" w:sz="18" w:space="0" w:color="D7D6C7"/>
              <w:bottom w:val="single" w:sz="18" w:space="0" w:color="D7D6C7"/>
            </w:tcBorders>
          </w:tcPr>
          <w:p w:rsidR="00C77EBB" w:rsidRDefault="00F51053">
            <w:pPr>
              <w:pStyle w:val="TableParagraph"/>
              <w:ind w:left="822"/>
              <w:rPr>
                <w:sz w:val="16"/>
              </w:rPr>
            </w:pPr>
            <w:r>
              <w:rPr>
                <w:color w:val="4D4D4F"/>
                <w:sz w:val="16"/>
              </w:rPr>
              <w:t>World Association for Waterborne Transport Infrastructure</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79" style="position:absolute;margin-left:0;margin-top:124.5pt;width:14.15pt;height:39.7pt;z-index:251677696;mso-position-horizontal-relative:page;mso-position-vertical-relative:page" fillcolor="#0e5d61" stroked="f">
            <w10:wrap anchorx="page" anchory="page"/>
          </v:rect>
        </w:pict>
      </w:r>
      <w:r>
        <w:pict>
          <v:group id="_x0000_s1074" style="position:absolute;margin-left:0;margin-top:37.4pt;width:532.95pt;height:25.2pt;z-index:-254658560;mso-position-horizontal-relative:page;mso-position-vertical-relative:page" coordorigin=",748" coordsize="10659,504">
            <v:line id="_x0000_s1078" style="position:absolute" from="1290,748" to="1290,1247" strokecolor="#0e5d61" strokeweight="1.5mm"/>
            <v:line id="_x0000_s1077" style="position:absolute" from="0,1247" to="10658,1247" strokecolor="#808285" strokeweight=".5pt"/>
            <v:shape id="_x0000_s1076" type="#_x0000_t202" style="position:absolute;left:510;top:802;width:329;height:355" filled="f" stroked="f">
              <v:textbox inset="0,0,0,0">
                <w:txbxContent>
                  <w:p w:rsidR="00C77EBB" w:rsidRDefault="00F51053">
                    <w:pPr>
                      <w:spacing w:line="334" w:lineRule="exact"/>
                      <w:rPr>
                        <w:b/>
                        <w:sz w:val="26"/>
                      </w:rPr>
                    </w:pPr>
                    <w:r>
                      <w:rPr>
                        <w:b/>
                        <w:color w:val="4D4D4F"/>
                        <w:sz w:val="26"/>
                      </w:rPr>
                      <w:t>12</w:t>
                    </w:r>
                  </w:p>
                </w:txbxContent>
              </v:textbox>
            </v:shape>
            <v:shape id="_x0000_s1075"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7457"/>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PJ</w:t>
            </w:r>
          </w:p>
        </w:tc>
        <w:tc>
          <w:tcPr>
            <w:tcW w:w="7457" w:type="dxa"/>
            <w:tcBorders>
              <w:bottom w:val="single" w:sz="18" w:space="0" w:color="D7D6C7"/>
            </w:tcBorders>
          </w:tcPr>
          <w:p w:rsidR="00C77EBB" w:rsidRDefault="00F51053">
            <w:pPr>
              <w:pStyle w:val="TableParagraph"/>
              <w:spacing w:before="24"/>
              <w:ind w:left="822"/>
              <w:rPr>
                <w:sz w:val="16"/>
              </w:rPr>
            </w:pPr>
            <w:r>
              <w:rPr>
                <w:color w:val="4D4D4F"/>
                <w:sz w:val="16"/>
              </w:rPr>
              <w:t>Petajoule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line="245" w:lineRule="exact"/>
              <w:rPr>
                <w:sz w:val="9"/>
              </w:rPr>
            </w:pPr>
            <w:r>
              <w:rPr>
                <w:color w:val="4D4D4F"/>
                <w:sz w:val="16"/>
              </w:rPr>
              <w:t>PM</w:t>
            </w:r>
            <w:r>
              <w:rPr>
                <w:color w:val="4D4D4F"/>
                <w:position w:val="-4"/>
                <w:sz w:val="9"/>
              </w:rPr>
              <w:t>10</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Particulate matter 10 micrometres or less in diameter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5" w:line="242" w:lineRule="exact"/>
              <w:rPr>
                <w:sz w:val="9"/>
              </w:rPr>
            </w:pPr>
            <w:r>
              <w:rPr>
                <w:color w:val="4D4D4F"/>
                <w:position w:val="5"/>
                <w:sz w:val="16"/>
              </w:rPr>
              <w:t>PM</w:t>
            </w:r>
            <w:r>
              <w:rPr>
                <w:color w:val="4D4D4F"/>
                <w:sz w:val="9"/>
              </w:rPr>
              <w:t>2.5</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Particulate matter 2.5 micrometres or less in diameter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PMCL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Prevention and Management of Contaminated Land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PMST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Protected Matters Search Tool</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PoH</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Port of Hastings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PoHDA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Port of Hastings Development Authority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PPF</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Planning Policy Framework</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ppm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Parts per million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PSA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Planning Scheme Amendment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PSP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Precinct Structure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PUZ</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Public Use Zone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PZ</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Port Zone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QRA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Quantitative Risk Assessment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RAP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Registered Aboriginal Party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ROKAMBA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Republic of Korea-Australia Migratory Bird Agreement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ROW</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Right of way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SA1</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Statistical Area 1</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SA2</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Statistical Area 2</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SBB</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Southern Brown Bandicoot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SBO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Special Building Overlay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SCADA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Supervisory control and data acquisition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SDS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Safety Data Sheets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SEIFA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Socio-Economic Indexes for Areas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SEMP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Stakeholder Engagement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SEPP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State Environment Protection Policy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SEPP (AQM)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State Environment Protection Policy – Air Quality Management</w:t>
            </w:r>
          </w:p>
        </w:tc>
      </w:tr>
      <w:tr w:rsidR="00C77EBB">
        <w:trPr>
          <w:trHeight w:val="4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SEPP N-1</w:t>
            </w:r>
          </w:p>
        </w:tc>
        <w:tc>
          <w:tcPr>
            <w:tcW w:w="7457" w:type="dxa"/>
            <w:tcBorders>
              <w:top w:val="single" w:sz="18" w:space="0" w:color="D7D6C7"/>
              <w:bottom w:val="single" w:sz="18" w:space="0" w:color="D7D6C7"/>
            </w:tcBorders>
          </w:tcPr>
          <w:p w:rsidR="00C77EBB" w:rsidRDefault="00F51053">
            <w:pPr>
              <w:pStyle w:val="TableParagraph"/>
              <w:spacing w:before="35" w:line="220" w:lineRule="auto"/>
              <w:ind w:left="822" w:right="168"/>
              <w:rPr>
                <w:i/>
                <w:sz w:val="16"/>
              </w:rPr>
            </w:pPr>
            <w:r>
              <w:rPr>
                <w:color w:val="4D4D4F"/>
                <w:sz w:val="16"/>
              </w:rPr>
              <w:t xml:space="preserve">EPA Publication S31: </w:t>
            </w:r>
            <w:r>
              <w:rPr>
                <w:i/>
                <w:color w:val="4D4D4F"/>
                <w:sz w:val="16"/>
              </w:rPr>
              <w:t>State Environmental Protection Policy (Control of Noise from Industry, Commerce and Trade) No. N-1</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SEW</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South East Water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SISD</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Safe Intersection Sight Distances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SMPEI</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Structural, mechanical, piping, electrical and instrumentation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SMS</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Safety Management Study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SOP</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Standard operating procedure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SQGVs</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Sediment quality guidelines values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SWQP</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Southwest Queensland Pipeline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T</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Tonne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spacing w:before="22"/>
              <w:rPr>
                <w:sz w:val="16"/>
              </w:rPr>
            </w:pPr>
            <w:r>
              <w:rPr>
                <w:color w:val="4D4D4F"/>
                <w:sz w:val="16"/>
              </w:rPr>
              <w:t>TAPM</w:t>
            </w:r>
          </w:p>
        </w:tc>
        <w:tc>
          <w:tcPr>
            <w:tcW w:w="7457" w:type="dxa"/>
            <w:tcBorders>
              <w:top w:val="single" w:sz="18" w:space="0" w:color="D7D6C7"/>
              <w:bottom w:val="single" w:sz="18" w:space="0" w:color="D7D6C7"/>
            </w:tcBorders>
          </w:tcPr>
          <w:p w:rsidR="00C77EBB" w:rsidRDefault="00F51053">
            <w:pPr>
              <w:pStyle w:val="TableParagraph"/>
              <w:spacing w:before="22"/>
              <w:ind w:left="822"/>
              <w:rPr>
                <w:sz w:val="16"/>
              </w:rPr>
            </w:pPr>
            <w:r>
              <w:rPr>
                <w:color w:val="4D4D4F"/>
                <w:sz w:val="16"/>
              </w:rPr>
              <w:t>The Air Pollution Model</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73" style="position:absolute;margin-left:581.1pt;margin-top:124.5pt;width:14.15pt;height:39.7pt;z-index:251681792;mso-position-horizontal-relative:page;mso-position-vertical-relative:page" fillcolor="#0e5d61" stroked="f">
            <w10:wrap anchorx="page" anchory="page"/>
          </v:rect>
        </w:pict>
      </w:r>
      <w:r>
        <w:pict>
          <v:group id="_x0000_s1068" style="position:absolute;margin-left:62.35pt;margin-top:37.4pt;width:532.95pt;height:25.2pt;z-index:251684864;mso-position-horizontal-relative:page;mso-position-vertical-relative:page" coordorigin="1247,748" coordsize="10659,504">
            <v:line id="_x0000_s1072" style="position:absolute" from="10616,748" to="10616,1247" strokecolor="#0e5d61" strokeweight="1.5mm"/>
            <v:line id="_x0000_s1071" style="position:absolute" from="1247,1247" to="11906,1247" strokecolor="#808285" strokeweight=".5pt"/>
            <v:shape id="_x0000_s1070"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69" type="#_x0000_t202" style="position:absolute;left:11081;top:802;width:334;height:355" filled="f" stroked="f">
              <v:textbox inset="0,0,0,0">
                <w:txbxContent>
                  <w:p w:rsidR="00C77EBB" w:rsidRDefault="00F51053">
                    <w:pPr>
                      <w:spacing w:line="334" w:lineRule="exact"/>
                      <w:rPr>
                        <w:b/>
                        <w:sz w:val="26"/>
                      </w:rPr>
                    </w:pPr>
                    <w:r>
                      <w:rPr>
                        <w:b/>
                        <w:color w:val="4D4D4F"/>
                        <w:sz w:val="26"/>
                      </w:rPr>
                      <w:t>13</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1955"/>
        <w:gridCol w:w="7457"/>
      </w:tblGrid>
      <w:tr w:rsidR="00C77EBB">
        <w:trPr>
          <w:trHeight w:val="392"/>
        </w:trPr>
        <w:tc>
          <w:tcPr>
            <w:tcW w:w="1955"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Abbreviation</w:t>
            </w:r>
          </w:p>
        </w:tc>
        <w:tc>
          <w:tcPr>
            <w:tcW w:w="7457" w:type="dxa"/>
            <w:shd w:val="clear" w:color="auto" w:fill="0E5D61"/>
          </w:tcPr>
          <w:p w:rsidR="00C77EBB" w:rsidRDefault="00F51053">
            <w:pPr>
              <w:pStyle w:val="TableParagraph"/>
              <w:spacing w:before="62"/>
              <w:ind w:left="822"/>
              <w:rPr>
                <w:rFonts w:ascii="Nunito Sans SemiBold"/>
                <w:b/>
                <w:sz w:val="18"/>
              </w:rPr>
            </w:pPr>
            <w:r>
              <w:rPr>
                <w:rFonts w:ascii="Nunito Sans SemiBold"/>
                <w:b/>
                <w:color w:val="FFFFFF"/>
                <w:sz w:val="18"/>
              </w:rPr>
              <w:t>Definition</w:t>
            </w:r>
          </w:p>
        </w:tc>
      </w:tr>
      <w:tr w:rsidR="00C77EBB">
        <w:trPr>
          <w:trHeight w:val="289"/>
        </w:trPr>
        <w:tc>
          <w:tcPr>
            <w:tcW w:w="1955" w:type="dxa"/>
            <w:tcBorders>
              <w:bottom w:val="single" w:sz="18" w:space="0" w:color="D7D6C7"/>
            </w:tcBorders>
          </w:tcPr>
          <w:p w:rsidR="00C77EBB" w:rsidRDefault="00F51053">
            <w:pPr>
              <w:pStyle w:val="TableParagraph"/>
              <w:spacing w:before="24"/>
              <w:rPr>
                <w:sz w:val="16"/>
              </w:rPr>
            </w:pPr>
            <w:r>
              <w:rPr>
                <w:color w:val="4D4D4F"/>
                <w:sz w:val="16"/>
              </w:rPr>
              <w:t>TBT</w:t>
            </w:r>
          </w:p>
        </w:tc>
        <w:tc>
          <w:tcPr>
            <w:tcW w:w="7457" w:type="dxa"/>
            <w:tcBorders>
              <w:bottom w:val="single" w:sz="18" w:space="0" w:color="D7D6C7"/>
            </w:tcBorders>
          </w:tcPr>
          <w:p w:rsidR="00C77EBB" w:rsidRDefault="00F51053">
            <w:pPr>
              <w:pStyle w:val="TableParagraph"/>
              <w:spacing w:before="24"/>
              <w:ind w:left="822"/>
              <w:rPr>
                <w:sz w:val="16"/>
              </w:rPr>
            </w:pPr>
            <w:r>
              <w:rPr>
                <w:color w:val="4D4D4F"/>
                <w:sz w:val="16"/>
              </w:rPr>
              <w:t>Tributlytin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TDS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Total dissolved soilds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TJ</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Terajoule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TJ/d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Terajoules per day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TMP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Traffic Management Plan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TRG</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Technical Reference Group</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TSS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Total suspended solids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µg/L</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Micrograms per litre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µm</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Micrometre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UNESCO</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United Nations Educational, Scientific and Cultural Organization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UGB</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Urban growth boundary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UPS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Uninterruptible Power Supply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VAHR</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Aboriginal Heritage Register</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VCP</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Climate Projections</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VGPRU</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Gas Planning Report Update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VHI</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Heritage Inventory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VOC</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Volatile organic compound</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VQA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Vegetation Quality Assessment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VRCA</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Regional Channels Authority</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VRET</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Renewable Energy Target</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VTS</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Victorian Transmission System</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v/v</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Volume per volume</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WQI</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Water quality index</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WSUD</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Water Sensitive Urban Design</w:t>
            </w:r>
          </w:p>
        </w:tc>
      </w:tr>
      <w:tr w:rsidR="00C77EBB">
        <w:trPr>
          <w:trHeight w:val="286"/>
        </w:trPr>
        <w:tc>
          <w:tcPr>
            <w:tcW w:w="1955" w:type="dxa"/>
            <w:tcBorders>
              <w:top w:val="single" w:sz="18" w:space="0" w:color="D7D6C7"/>
              <w:bottom w:val="single" w:sz="18" w:space="0" w:color="D7D6C7"/>
            </w:tcBorders>
          </w:tcPr>
          <w:p w:rsidR="00C77EBB" w:rsidRDefault="00F51053">
            <w:pPr>
              <w:pStyle w:val="TableParagraph"/>
              <w:rPr>
                <w:sz w:val="16"/>
              </w:rPr>
            </w:pPr>
            <w:r>
              <w:rPr>
                <w:color w:val="4D4D4F"/>
                <w:sz w:val="16"/>
              </w:rPr>
              <w:t>WSV</w:t>
            </w:r>
          </w:p>
        </w:tc>
        <w:tc>
          <w:tcPr>
            <w:tcW w:w="7457" w:type="dxa"/>
            <w:tcBorders>
              <w:top w:val="single" w:sz="18" w:space="0" w:color="D7D6C7"/>
              <w:bottom w:val="single" w:sz="18" w:space="0" w:color="D7D6C7"/>
            </w:tcBorders>
          </w:tcPr>
          <w:p w:rsidR="00C77EBB" w:rsidRDefault="00F51053">
            <w:pPr>
              <w:pStyle w:val="TableParagraph"/>
              <w:ind w:left="822"/>
              <w:rPr>
                <w:sz w:val="16"/>
              </w:rPr>
            </w:pPr>
            <w:r>
              <w:rPr>
                <w:color w:val="4D4D4F"/>
                <w:sz w:val="16"/>
              </w:rPr>
              <w:t>WorkSafe Victoria</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67" style="position:absolute;margin-left:0;margin-top:124.5pt;width:14.15pt;height:39.7pt;z-index:251685888;mso-position-horizontal-relative:page;mso-position-vertical-relative:page" fillcolor="#0e5d61" stroked="f">
            <w10:wrap anchorx="page" anchory="page"/>
          </v:rect>
        </w:pict>
      </w:r>
      <w:r>
        <w:pict>
          <v:group id="_x0000_s1062" style="position:absolute;margin-left:0;margin-top:37.4pt;width:532.95pt;height:25.2pt;z-index:-254650368;mso-position-horizontal-relative:page;mso-position-vertical-relative:page" coordorigin=",748" coordsize="10659,504">
            <v:line id="_x0000_s1066" style="position:absolute" from="1290,748" to="1290,1247" strokecolor="#0e5d61" strokeweight="1.5mm"/>
            <v:line id="_x0000_s1065" style="position:absolute" from="0,1247" to="10658,1247" strokecolor="#808285" strokeweight=".5pt"/>
            <v:shape id="_x0000_s1064" type="#_x0000_t202" style="position:absolute;left:510;top:802;width:331;height:355" filled="f" stroked="f">
              <v:textbox inset="0,0,0,0">
                <w:txbxContent>
                  <w:p w:rsidR="00C77EBB" w:rsidRDefault="00F51053">
                    <w:pPr>
                      <w:spacing w:line="334" w:lineRule="exact"/>
                      <w:rPr>
                        <w:b/>
                        <w:sz w:val="26"/>
                      </w:rPr>
                    </w:pPr>
                    <w:r>
                      <w:rPr>
                        <w:b/>
                        <w:color w:val="4D4D4F"/>
                        <w:sz w:val="26"/>
                      </w:rPr>
                      <w:t>14</w:t>
                    </w:r>
                  </w:p>
                </w:txbxContent>
              </v:textbox>
            </v:shape>
            <v:shape id="_x0000_s1063"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8"/>
        <w:rPr>
          <w:b/>
          <w:sz w:val="19"/>
        </w:rPr>
      </w:pPr>
    </w:p>
    <w:p w:rsidR="00C77EBB" w:rsidRDefault="00F51053">
      <w:pPr>
        <w:pStyle w:val="BodyText"/>
        <w:spacing w:before="85"/>
        <w:ind w:left="107"/>
      </w:pPr>
      <w:r>
        <w:rPr>
          <w:color w:val="4D4D4F"/>
        </w:rPr>
        <w:t>Glossary of terms</w:t>
      </w:r>
    </w:p>
    <w:p w:rsidR="00C77EBB" w:rsidRDefault="00C77EBB">
      <w:pPr>
        <w:spacing w:before="3"/>
        <w:rPr>
          <w:b/>
          <w:sz w:val="10"/>
        </w:rPr>
      </w:pPr>
    </w:p>
    <w:tbl>
      <w:tblPr>
        <w:tblW w:w="0" w:type="auto"/>
        <w:tblInd w:w="114" w:type="dxa"/>
        <w:tblLayout w:type="fixed"/>
        <w:tblCellMar>
          <w:left w:w="0" w:type="dxa"/>
          <w:right w:w="0" w:type="dxa"/>
        </w:tblCellMar>
        <w:tblLook w:val="01E0" w:firstRow="1" w:lastRow="1" w:firstColumn="1" w:lastColumn="1" w:noHBand="0" w:noVBand="0"/>
      </w:tblPr>
      <w:tblGrid>
        <w:gridCol w:w="2569"/>
        <w:gridCol w:w="6822"/>
      </w:tblGrid>
      <w:tr w:rsidR="00C77EBB">
        <w:trPr>
          <w:trHeight w:val="392"/>
        </w:trPr>
        <w:tc>
          <w:tcPr>
            <w:tcW w:w="2569"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6822" w:type="dxa"/>
            <w:shd w:val="clear" w:color="auto" w:fill="0E5D61"/>
          </w:tcPr>
          <w:p w:rsidR="00C77EBB" w:rsidRDefault="00F51053">
            <w:pPr>
              <w:pStyle w:val="TableParagraph"/>
              <w:spacing w:before="62"/>
              <w:ind w:left="199"/>
              <w:rPr>
                <w:rFonts w:ascii="Nunito Sans SemiBold"/>
                <w:b/>
                <w:sz w:val="18"/>
              </w:rPr>
            </w:pPr>
            <w:r>
              <w:rPr>
                <w:rFonts w:ascii="Nunito Sans SemiBold"/>
                <w:b/>
                <w:color w:val="FFFFFF"/>
                <w:sz w:val="18"/>
              </w:rPr>
              <w:t>Definition</w:t>
            </w:r>
          </w:p>
        </w:tc>
      </w:tr>
      <w:tr w:rsidR="00C77EBB">
        <w:trPr>
          <w:trHeight w:val="489"/>
        </w:trPr>
        <w:tc>
          <w:tcPr>
            <w:tcW w:w="2569" w:type="dxa"/>
            <w:tcBorders>
              <w:bottom w:val="single" w:sz="18" w:space="0" w:color="D7D6C7"/>
            </w:tcBorders>
          </w:tcPr>
          <w:p w:rsidR="00C77EBB" w:rsidRDefault="00F51053">
            <w:pPr>
              <w:pStyle w:val="TableParagraph"/>
              <w:spacing w:before="24" w:line="209" w:lineRule="exact"/>
              <w:rPr>
                <w:sz w:val="16"/>
              </w:rPr>
            </w:pPr>
            <w:r>
              <w:rPr>
                <w:color w:val="4D4D4F"/>
                <w:sz w:val="16"/>
              </w:rPr>
              <w:t>Average Annual Daily Traffic</w:t>
            </w:r>
          </w:p>
          <w:p w:rsidR="00C77EBB" w:rsidRDefault="00F51053">
            <w:pPr>
              <w:pStyle w:val="TableParagraph"/>
              <w:spacing w:before="0" w:line="209" w:lineRule="exact"/>
              <w:rPr>
                <w:sz w:val="16"/>
              </w:rPr>
            </w:pPr>
            <w:r>
              <w:rPr>
                <w:color w:val="4D4D4F"/>
                <w:sz w:val="16"/>
              </w:rPr>
              <w:t>(AADT)</w:t>
            </w:r>
          </w:p>
        </w:tc>
        <w:tc>
          <w:tcPr>
            <w:tcW w:w="6822" w:type="dxa"/>
            <w:tcBorders>
              <w:bottom w:val="single" w:sz="18" w:space="0" w:color="D7D6C7"/>
            </w:tcBorders>
          </w:tcPr>
          <w:p w:rsidR="00C77EBB" w:rsidRDefault="00F51053">
            <w:pPr>
              <w:pStyle w:val="TableParagraph"/>
              <w:spacing w:before="24" w:line="209" w:lineRule="exact"/>
              <w:ind w:left="198"/>
              <w:rPr>
                <w:sz w:val="16"/>
              </w:rPr>
            </w:pPr>
            <w:r>
              <w:rPr>
                <w:color w:val="4D4D4F"/>
                <w:sz w:val="16"/>
              </w:rPr>
              <w:t>This measurement provides the total volume of vehicle traffic of a road for a year divided</w:t>
            </w:r>
          </w:p>
          <w:p w:rsidR="00C77EBB" w:rsidRDefault="00F51053">
            <w:pPr>
              <w:pStyle w:val="TableParagraph"/>
              <w:spacing w:before="0" w:line="209" w:lineRule="exact"/>
              <w:ind w:left="198"/>
              <w:rPr>
                <w:sz w:val="16"/>
              </w:rPr>
            </w:pPr>
            <w:r>
              <w:rPr>
                <w:color w:val="4D4D4F"/>
                <w:sz w:val="16"/>
              </w:rPr>
              <w:t>by 365 days.</w:t>
            </w:r>
          </w:p>
        </w:tc>
      </w:tr>
      <w:tr w:rsidR="00C77EBB">
        <w:trPr>
          <w:trHeight w:val="14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Actual acid sulfate soils (AASS)</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Pr>
                <w:sz w:val="16"/>
              </w:rPr>
            </w:pPr>
            <w:r>
              <w:rPr>
                <w:color w:val="4D4D4F"/>
                <w:sz w:val="16"/>
              </w:rPr>
              <w:t>Soils containing highly acidic soil horizons resulting from the oxidation of soil materials are rich in reduced inorganic sulfur primarily pyrite. When this oxidation of reduced inorganic sulfur produces acidity in excess of the soil material’s capacity to</w:t>
            </w:r>
            <w:r>
              <w:rPr>
                <w:color w:val="4D4D4F"/>
                <w:sz w:val="16"/>
              </w:rPr>
              <w:t xml:space="preserve"> neutralise this acidity, the soil material will often acidify to a pH 4 or less, forming an Actual Acid Sulfate Soil (AASS). The recognition of AASS materials can be confirmed by the presence of jarosite in these materials, or the location of other AASS o</w:t>
            </w:r>
            <w:r>
              <w:rPr>
                <w:color w:val="4D4D4F"/>
                <w:sz w:val="16"/>
              </w:rPr>
              <w:t>r Potential ASS (PASS) materials within or in the nearby vicinity to the sampling location.</w:t>
            </w:r>
          </w:p>
        </w:tc>
      </w:tr>
      <w:tr w:rsidR="00C77EBB">
        <w:trPr>
          <w:trHeight w:val="8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Acid sulfate soil (ASS)</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40"/>
              <w:rPr>
                <w:sz w:val="16"/>
              </w:rPr>
            </w:pPr>
            <w:r>
              <w:rPr>
                <w:color w:val="4D4D4F"/>
                <w:sz w:val="16"/>
              </w:rPr>
              <w:t>Acid sulfate soils are naturally occurring soils, sediments or organic substrates that are formed under waterlogged conditions. These soils</w:t>
            </w:r>
            <w:r>
              <w:rPr>
                <w:color w:val="4D4D4F"/>
                <w:sz w:val="16"/>
              </w:rPr>
              <w:t xml:space="preserve"> contain iron sulphide minerals or their oxidation products. When exposed, these soils oxidise and they can generate acidic water (if in contact with rainfall or other water source).</w:t>
            </w:r>
          </w:p>
        </w:tc>
      </w:tr>
      <w:tr w:rsidR="00C77EBB">
        <w:trPr>
          <w:trHeight w:val="6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Adaptation</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40"/>
              <w:rPr>
                <w:sz w:val="16"/>
              </w:rPr>
            </w:pPr>
            <w:r>
              <w:rPr>
                <w:color w:val="4D4D4F"/>
                <w:sz w:val="16"/>
              </w:rPr>
              <w:t>Changes made in response to the likely threats and opportunities arising from climate variability and climate change. Note: Adaptation can be spontaneous or planned, and can be carried out in response to, or in anticipation of changes in climatic condition</w:t>
            </w:r>
            <w:r>
              <w:rPr>
                <w:color w:val="4D4D4F"/>
                <w:sz w:val="16"/>
              </w:rPr>
              <w:t>s.</w:t>
            </w:r>
          </w:p>
        </w:tc>
      </w:tr>
      <w:tr w:rsidR="00C77EBB">
        <w:trPr>
          <w:trHeight w:val="4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Adaptation measures</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Pr>
                <w:sz w:val="16"/>
              </w:rPr>
            </w:pPr>
            <w:r>
              <w:rPr>
                <w:color w:val="4D4D4F"/>
                <w:sz w:val="16"/>
              </w:rPr>
              <w:t>Measures or actions taken to adjust to the actual or expected climate and its effects (this terminology is used only in the climate change study).</w:t>
            </w:r>
          </w:p>
        </w:tc>
      </w:tr>
      <w:tr w:rsidR="00C77EBB">
        <w:trPr>
          <w:trHeight w:val="2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Alignment</w:t>
            </w:r>
          </w:p>
        </w:tc>
        <w:tc>
          <w:tcPr>
            <w:tcW w:w="6822" w:type="dxa"/>
            <w:tcBorders>
              <w:top w:val="single" w:sz="18" w:space="0" w:color="D7D6C7"/>
              <w:bottom w:val="single" w:sz="18" w:space="0" w:color="D7D6C7"/>
            </w:tcBorders>
          </w:tcPr>
          <w:p w:rsidR="00C77EBB" w:rsidRDefault="00F51053">
            <w:pPr>
              <w:pStyle w:val="TableParagraph"/>
              <w:ind w:left="198"/>
              <w:rPr>
                <w:sz w:val="16"/>
              </w:rPr>
            </w:pPr>
            <w:r>
              <w:rPr>
                <w:color w:val="4D4D4F"/>
                <w:sz w:val="16"/>
              </w:rPr>
              <w:t>The route of the pipeline selected for assessment in the EES.</w:t>
            </w:r>
          </w:p>
        </w:tc>
      </w:tr>
      <w:tr w:rsidR="00C77EBB">
        <w:trPr>
          <w:trHeight w:val="6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Ambient noise</w:t>
            </w:r>
          </w:p>
        </w:tc>
        <w:tc>
          <w:tcPr>
            <w:tcW w:w="6822" w:type="dxa"/>
            <w:tcBorders>
              <w:top w:val="single" w:sz="18" w:space="0" w:color="D7D6C7"/>
              <w:bottom w:val="single" w:sz="18" w:space="0" w:color="D7D6C7"/>
            </w:tcBorders>
          </w:tcPr>
          <w:p w:rsidR="00C77EBB" w:rsidRDefault="00F51053">
            <w:pPr>
              <w:pStyle w:val="TableParagraph"/>
              <w:spacing w:before="46" w:line="206" w:lineRule="auto"/>
              <w:ind w:left="198"/>
              <w:rPr>
                <w:sz w:val="16"/>
              </w:rPr>
            </w:pPr>
            <w:r>
              <w:rPr>
                <w:color w:val="4D4D4F"/>
                <w:sz w:val="16"/>
              </w:rPr>
              <w:t>Ambient noise is the all-encompassing noise at a point comprising sound from all noise sources near and far. The equivalent continuous sound pressure level. L</w:t>
            </w:r>
            <w:r>
              <w:rPr>
                <w:color w:val="4D4D4F"/>
                <w:position w:val="-4"/>
                <w:sz w:val="9"/>
              </w:rPr>
              <w:t>Aeq</w:t>
            </w:r>
            <w:r>
              <w:rPr>
                <w:color w:val="4D4D4F"/>
                <w:sz w:val="16"/>
              </w:rPr>
              <w:t>, is typically the</w:t>
            </w:r>
            <w:r>
              <w:rPr>
                <w:color w:val="4D4D4F"/>
                <w:sz w:val="16"/>
              </w:rPr>
              <w:t xml:space="preserve"> descriptor used to describe ambient noise.</w:t>
            </w:r>
          </w:p>
        </w:tc>
      </w:tr>
      <w:tr w:rsidR="00C77EBB">
        <w:trPr>
          <w:trHeight w:val="6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Aquifers</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00"/>
              <w:rPr>
                <w:sz w:val="16"/>
              </w:rPr>
            </w:pPr>
            <w:r>
              <w:rPr>
                <w:color w:val="4D4D4F"/>
                <w:sz w:val="16"/>
              </w:rPr>
              <w:t xml:space="preserve">Geological materials such as unconsolidated </w:t>
            </w:r>
            <w:r>
              <w:rPr>
                <w:color w:val="4D4D4F"/>
                <w:spacing w:val="2"/>
                <w:sz w:val="16"/>
              </w:rPr>
              <w:t xml:space="preserve">sediments </w:t>
            </w:r>
            <w:r>
              <w:rPr>
                <w:color w:val="4D4D4F"/>
                <w:sz w:val="16"/>
              </w:rPr>
              <w:t xml:space="preserve">(gravel or sand), permeable rock   or </w:t>
            </w:r>
            <w:r>
              <w:rPr>
                <w:color w:val="4D4D4F"/>
                <w:spacing w:val="2"/>
                <w:sz w:val="16"/>
              </w:rPr>
              <w:t xml:space="preserve">fractured </w:t>
            </w:r>
            <w:r>
              <w:rPr>
                <w:color w:val="4D4D4F"/>
                <w:sz w:val="16"/>
              </w:rPr>
              <w:t xml:space="preserve">rock that </w:t>
            </w:r>
            <w:r>
              <w:rPr>
                <w:color w:val="4D4D4F"/>
                <w:spacing w:val="3"/>
                <w:sz w:val="16"/>
              </w:rPr>
              <w:t xml:space="preserve">act </w:t>
            </w:r>
            <w:r>
              <w:rPr>
                <w:color w:val="4D4D4F"/>
                <w:sz w:val="16"/>
              </w:rPr>
              <w:t xml:space="preserve">as </w:t>
            </w:r>
            <w:r>
              <w:rPr>
                <w:color w:val="4D4D4F"/>
                <w:spacing w:val="2"/>
                <w:sz w:val="16"/>
              </w:rPr>
              <w:t xml:space="preserve">reservoirs </w:t>
            </w:r>
            <w:r>
              <w:rPr>
                <w:color w:val="4D4D4F"/>
                <w:sz w:val="16"/>
              </w:rPr>
              <w:t xml:space="preserve">for groundwater. Wells drilled into aquifers </w:t>
            </w:r>
            <w:r>
              <w:rPr>
                <w:color w:val="4D4D4F"/>
                <w:spacing w:val="3"/>
                <w:sz w:val="16"/>
              </w:rPr>
              <w:t xml:space="preserve">extract </w:t>
            </w:r>
            <w:r>
              <w:rPr>
                <w:color w:val="4D4D4F"/>
                <w:sz w:val="16"/>
              </w:rPr>
              <w:t xml:space="preserve">groundwater for a </w:t>
            </w:r>
            <w:r>
              <w:rPr>
                <w:color w:val="4D4D4F"/>
                <w:spacing w:val="2"/>
                <w:sz w:val="16"/>
              </w:rPr>
              <w:t xml:space="preserve">variety </w:t>
            </w:r>
            <w:r>
              <w:rPr>
                <w:color w:val="4D4D4F"/>
                <w:sz w:val="16"/>
              </w:rPr>
              <w:t>of</w:t>
            </w:r>
            <w:r>
              <w:rPr>
                <w:color w:val="4D4D4F"/>
                <w:spacing w:val="-2"/>
                <w:sz w:val="16"/>
              </w:rPr>
              <w:t xml:space="preserve"> </w:t>
            </w:r>
            <w:r>
              <w:rPr>
                <w:color w:val="4D4D4F"/>
                <w:sz w:val="16"/>
              </w:rPr>
              <w:t>uses.</w:t>
            </w:r>
          </w:p>
        </w:tc>
      </w:tr>
      <w:tr w:rsidR="00C77EBB">
        <w:trPr>
          <w:trHeight w:val="486"/>
        </w:trPr>
        <w:tc>
          <w:tcPr>
            <w:tcW w:w="2569" w:type="dxa"/>
            <w:tcBorders>
              <w:top w:val="single" w:sz="18" w:space="0" w:color="D7D6C7"/>
              <w:bottom w:val="single" w:sz="18" w:space="0" w:color="D7D6C7"/>
            </w:tcBorders>
          </w:tcPr>
          <w:p w:rsidR="00C77EBB" w:rsidRDefault="00F51053">
            <w:pPr>
              <w:pStyle w:val="TableParagraph"/>
              <w:spacing w:line="209" w:lineRule="exact"/>
              <w:rPr>
                <w:sz w:val="16"/>
              </w:rPr>
            </w:pPr>
            <w:r>
              <w:rPr>
                <w:color w:val="4D4D4F"/>
                <w:sz w:val="16"/>
              </w:rPr>
              <w:t>Average Annual Daily Traffic</w:t>
            </w:r>
          </w:p>
          <w:p w:rsidR="00C77EBB" w:rsidRDefault="00F51053">
            <w:pPr>
              <w:pStyle w:val="TableParagraph"/>
              <w:spacing w:before="0" w:line="209" w:lineRule="exact"/>
              <w:rPr>
                <w:sz w:val="16"/>
              </w:rPr>
            </w:pPr>
            <w:r>
              <w:rPr>
                <w:color w:val="4D4D4F"/>
                <w:sz w:val="16"/>
              </w:rPr>
              <w:t>(AADT)</w:t>
            </w:r>
          </w:p>
        </w:tc>
        <w:tc>
          <w:tcPr>
            <w:tcW w:w="6822" w:type="dxa"/>
            <w:tcBorders>
              <w:top w:val="single" w:sz="18" w:space="0" w:color="D7D6C7"/>
              <w:bottom w:val="single" w:sz="18" w:space="0" w:color="D7D6C7"/>
            </w:tcBorders>
          </w:tcPr>
          <w:p w:rsidR="00C77EBB" w:rsidRDefault="00F51053">
            <w:pPr>
              <w:pStyle w:val="TableParagraph"/>
              <w:spacing w:line="209" w:lineRule="exact"/>
              <w:ind w:left="198"/>
              <w:rPr>
                <w:sz w:val="16"/>
              </w:rPr>
            </w:pPr>
            <w:r>
              <w:rPr>
                <w:color w:val="4D4D4F"/>
                <w:sz w:val="16"/>
              </w:rPr>
              <w:t>This measurement provides the total volume of vehicle traffic of a road for a year divided</w:t>
            </w:r>
          </w:p>
          <w:p w:rsidR="00C77EBB" w:rsidRDefault="00F51053">
            <w:pPr>
              <w:pStyle w:val="TableParagraph"/>
              <w:spacing w:before="0" w:line="209" w:lineRule="exact"/>
              <w:ind w:left="198"/>
              <w:rPr>
                <w:sz w:val="16"/>
              </w:rPr>
            </w:pPr>
            <w:r>
              <w:rPr>
                <w:color w:val="4D4D4F"/>
                <w:sz w:val="16"/>
              </w:rPr>
              <w:t>by 365 days.</w:t>
            </w:r>
          </w:p>
        </w:tc>
      </w:tr>
      <w:tr w:rsidR="00C77EBB">
        <w:trPr>
          <w:trHeight w:val="2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Background levels</w:t>
            </w:r>
          </w:p>
        </w:tc>
        <w:tc>
          <w:tcPr>
            <w:tcW w:w="6822" w:type="dxa"/>
            <w:tcBorders>
              <w:top w:val="single" w:sz="18" w:space="0" w:color="D7D6C7"/>
              <w:bottom w:val="single" w:sz="18" w:space="0" w:color="D7D6C7"/>
            </w:tcBorders>
          </w:tcPr>
          <w:p w:rsidR="00C77EBB" w:rsidRDefault="00F51053">
            <w:pPr>
              <w:pStyle w:val="TableParagraph"/>
              <w:ind w:left="198"/>
              <w:rPr>
                <w:sz w:val="16"/>
              </w:rPr>
            </w:pPr>
            <w:r>
              <w:rPr>
                <w:color w:val="4D4D4F"/>
                <w:sz w:val="16"/>
              </w:rPr>
              <w:t>Levels of a chemical that are normally found in the environment</w:t>
            </w:r>
          </w:p>
        </w:tc>
      </w:tr>
      <w:tr w:rsidR="00C77EBB">
        <w:trPr>
          <w:trHeight w:val="2056"/>
        </w:trPr>
        <w:tc>
          <w:tcPr>
            <w:tcW w:w="2569" w:type="dxa"/>
            <w:tcBorders>
              <w:top w:val="single" w:sz="18" w:space="0" w:color="D7D6C7"/>
              <w:bottom w:val="single" w:sz="18" w:space="0" w:color="D7D6C7"/>
            </w:tcBorders>
          </w:tcPr>
          <w:p w:rsidR="00C77EBB" w:rsidRDefault="00F51053">
            <w:pPr>
              <w:pStyle w:val="TableParagraph"/>
              <w:spacing w:line="283" w:lineRule="auto"/>
              <w:ind w:right="1059"/>
              <w:rPr>
                <w:i/>
                <w:sz w:val="16"/>
              </w:rPr>
            </w:pPr>
            <w:r>
              <w:rPr>
                <w:color w:val="4D4D4F"/>
                <w:sz w:val="16"/>
              </w:rPr>
              <w:t>Background level (</w:t>
            </w:r>
            <w:r>
              <w:rPr>
                <w:i/>
                <w:color w:val="4D4D4F"/>
                <w:sz w:val="16"/>
              </w:rPr>
              <w:t>L</w:t>
            </w:r>
            <w:r>
              <w:rPr>
                <w:color w:val="4D4D4F"/>
                <w:position w:val="-4"/>
                <w:sz w:val="9"/>
              </w:rPr>
              <w:t xml:space="preserve">90 </w:t>
            </w:r>
            <w:r>
              <w:rPr>
                <w:i/>
                <w:color w:val="4D4D4F"/>
                <w:sz w:val="16"/>
              </w:rPr>
              <w:t xml:space="preserve">or L </w:t>
            </w:r>
            <w:r>
              <w:rPr>
                <w:color w:val="4D4D4F"/>
                <w:position w:val="-4"/>
                <w:sz w:val="9"/>
              </w:rPr>
              <w:t>A90</w:t>
            </w:r>
            <w:r>
              <w:rPr>
                <w:i/>
                <w:color w:val="4D4D4F"/>
                <w:sz w:val="16"/>
              </w:rPr>
              <w:t>)</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12"/>
              <w:jc w:val="both"/>
              <w:rPr>
                <w:sz w:val="16"/>
              </w:rPr>
            </w:pPr>
            <w:r>
              <w:rPr>
                <w:color w:val="4D4D4F"/>
                <w:sz w:val="16"/>
              </w:rPr>
              <w:t>The underlying noise level present in the ambient noise when extraneous noise (such as a lawnmower and dogs barking) is removed.</w:t>
            </w:r>
          </w:p>
          <w:p w:rsidR="00C77EBB" w:rsidRDefault="00F51053">
            <w:pPr>
              <w:pStyle w:val="TableParagraph"/>
              <w:spacing w:before="41"/>
              <w:ind w:left="198"/>
              <w:jc w:val="both"/>
              <w:rPr>
                <w:sz w:val="16"/>
              </w:rPr>
            </w:pPr>
            <w:r>
              <w:rPr>
                <w:color w:val="4D4D4F"/>
                <w:sz w:val="16"/>
              </w:rPr>
              <w:t>The L</w:t>
            </w:r>
            <w:r>
              <w:rPr>
                <w:color w:val="4D4D4F"/>
                <w:position w:val="-4"/>
                <w:sz w:val="9"/>
              </w:rPr>
              <w:t xml:space="preserve">90 </w:t>
            </w:r>
            <w:r>
              <w:rPr>
                <w:color w:val="4D4D4F"/>
                <w:sz w:val="16"/>
              </w:rPr>
              <w:t>sound pressure level is used to quantify the background level.</w:t>
            </w:r>
          </w:p>
          <w:p w:rsidR="00C77EBB" w:rsidRDefault="00F51053">
            <w:pPr>
              <w:pStyle w:val="TableParagraph"/>
              <w:spacing w:before="28" w:line="206" w:lineRule="auto"/>
              <w:ind w:left="198" w:right="460"/>
              <w:jc w:val="both"/>
              <w:rPr>
                <w:sz w:val="16"/>
              </w:rPr>
            </w:pPr>
            <w:r>
              <w:rPr>
                <w:color w:val="4D4D4F"/>
                <w:sz w:val="16"/>
              </w:rPr>
              <w:t>For a day, evening or night period means the arithmetic average of the L</w:t>
            </w:r>
            <w:r>
              <w:rPr>
                <w:color w:val="4D4D4F"/>
                <w:position w:val="-4"/>
                <w:sz w:val="9"/>
              </w:rPr>
              <w:t xml:space="preserve">A90 </w:t>
            </w:r>
            <w:r>
              <w:rPr>
                <w:color w:val="4D4D4F"/>
                <w:sz w:val="16"/>
              </w:rPr>
              <w:t>levels for each hour of that period for which the commercial, industrial or trade premises under investigation normally operates.</w:t>
            </w:r>
          </w:p>
          <w:p w:rsidR="00C77EBB" w:rsidRDefault="00F51053">
            <w:pPr>
              <w:pStyle w:val="TableParagraph"/>
              <w:spacing w:before="57" w:line="220" w:lineRule="auto"/>
              <w:ind w:left="198" w:right="140"/>
              <w:rPr>
                <w:sz w:val="16"/>
              </w:rPr>
            </w:pPr>
            <w:r>
              <w:rPr>
                <w:color w:val="4D4D4F"/>
                <w:sz w:val="16"/>
              </w:rPr>
              <w:t>The background level shall include all noise sourc</w:t>
            </w:r>
            <w:r>
              <w:rPr>
                <w:color w:val="4D4D4F"/>
                <w:sz w:val="16"/>
              </w:rPr>
              <w:t>es except noise from commercial, industrial or trade premises which appears to be intrusive at the point where the background level is measured.</w:t>
            </w:r>
          </w:p>
        </w:tc>
      </w:tr>
      <w:tr w:rsidR="00C77EBB">
        <w:trPr>
          <w:trHeight w:val="6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Ballast water</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40"/>
              <w:rPr>
                <w:sz w:val="16"/>
              </w:rPr>
            </w:pPr>
            <w:r>
              <w:rPr>
                <w:color w:val="4D4D4F"/>
                <w:sz w:val="16"/>
              </w:rPr>
              <w:t>Water carried within the ballast tanks of a ship to improve the stability and balance of the ves</w:t>
            </w:r>
            <w:r>
              <w:rPr>
                <w:color w:val="4D4D4F"/>
                <w:sz w:val="16"/>
              </w:rPr>
              <w:t>sel. The water is taken up or discharged when cargo is unloaded or loaded, or when a ship needs extra stability in poor weather.</w:t>
            </w:r>
          </w:p>
        </w:tc>
      </w:tr>
      <w:tr w:rsidR="00C77EBB">
        <w:trPr>
          <w:trHeight w:val="6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Bathymetry</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140"/>
              <w:rPr>
                <w:sz w:val="16"/>
              </w:rPr>
            </w:pPr>
            <w:r>
              <w:rPr>
                <w:color w:val="4D4D4F"/>
                <w:sz w:val="16"/>
              </w:rPr>
              <w:t>Bathymetry is essentially the underwater equivalent to mapping topography on land. It is the study of the sea floor and underwater depth of oceans, seas or lakes. It involves the measuring of ocean or water depth.</w:t>
            </w:r>
          </w:p>
        </w:tc>
      </w:tr>
      <w:tr w:rsidR="00C77EBB">
        <w:trPr>
          <w:trHeight w:val="2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Bell hole</w:t>
            </w:r>
          </w:p>
        </w:tc>
        <w:tc>
          <w:tcPr>
            <w:tcW w:w="6822" w:type="dxa"/>
            <w:tcBorders>
              <w:top w:val="single" w:sz="18" w:space="0" w:color="D7D6C7"/>
              <w:bottom w:val="single" w:sz="18" w:space="0" w:color="D7D6C7"/>
            </w:tcBorders>
          </w:tcPr>
          <w:p w:rsidR="00C77EBB" w:rsidRDefault="00F51053">
            <w:pPr>
              <w:pStyle w:val="TableParagraph"/>
              <w:ind w:left="198"/>
              <w:rPr>
                <w:sz w:val="16"/>
              </w:rPr>
            </w:pPr>
            <w:r>
              <w:rPr>
                <w:color w:val="4D4D4F"/>
                <w:sz w:val="16"/>
              </w:rPr>
              <w:t>A widened area of trench, which</w:t>
            </w:r>
            <w:r>
              <w:rPr>
                <w:color w:val="4D4D4F"/>
                <w:sz w:val="16"/>
              </w:rPr>
              <w:t xml:space="preserve"> enables horizontal boring to be undertaken.</w:t>
            </w:r>
          </w:p>
        </w:tc>
      </w:tr>
      <w:tr w:rsidR="00C77EBB">
        <w:trPr>
          <w:trHeight w:val="1086"/>
        </w:trPr>
        <w:tc>
          <w:tcPr>
            <w:tcW w:w="2569" w:type="dxa"/>
            <w:tcBorders>
              <w:top w:val="single" w:sz="18" w:space="0" w:color="D7D6C7"/>
              <w:bottom w:val="single" w:sz="18" w:space="0" w:color="D7D6C7"/>
            </w:tcBorders>
          </w:tcPr>
          <w:p w:rsidR="00C77EBB" w:rsidRDefault="00F51053">
            <w:pPr>
              <w:pStyle w:val="TableParagraph"/>
              <w:rPr>
                <w:sz w:val="16"/>
              </w:rPr>
            </w:pPr>
            <w:r>
              <w:rPr>
                <w:color w:val="4D4D4F"/>
                <w:sz w:val="16"/>
              </w:rPr>
              <w:t>Beneficial use</w:t>
            </w:r>
          </w:p>
        </w:tc>
        <w:tc>
          <w:tcPr>
            <w:tcW w:w="6822" w:type="dxa"/>
            <w:tcBorders>
              <w:top w:val="single" w:sz="18" w:space="0" w:color="D7D6C7"/>
              <w:bottom w:val="single" w:sz="18" w:space="0" w:color="D7D6C7"/>
            </w:tcBorders>
          </w:tcPr>
          <w:p w:rsidR="00C77EBB" w:rsidRDefault="00F51053">
            <w:pPr>
              <w:pStyle w:val="TableParagraph"/>
              <w:spacing w:before="35" w:line="220" w:lineRule="auto"/>
              <w:ind w:left="198" w:right="388"/>
              <w:rPr>
                <w:sz w:val="16"/>
              </w:rPr>
            </w:pPr>
            <w:r>
              <w:rPr>
                <w:color w:val="4D4D4F"/>
                <w:sz w:val="16"/>
              </w:rPr>
              <w:t>A use of the environment or any element or segment of the environment which is conducive to public benefit, welfare, safety, health or aesthetic enjoyment and which requires protection from the e</w:t>
            </w:r>
            <w:r>
              <w:rPr>
                <w:color w:val="4D4D4F"/>
                <w:sz w:val="16"/>
              </w:rPr>
              <w:t>ffects of waste discharges, emissions or deposits, or of the emission of noise; or is declared in the State Environment Protection Policy to be a beneficial use.</w:t>
            </w:r>
          </w:p>
        </w:tc>
      </w:tr>
    </w:tbl>
    <w:p w:rsidR="00C77EBB" w:rsidRDefault="00C77EBB">
      <w:pPr>
        <w:spacing w:line="220" w:lineRule="auto"/>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61" style="position:absolute;margin-left:581.1pt;margin-top:124.5pt;width:14.15pt;height:39.7pt;z-index:251689984;mso-position-horizontal-relative:page;mso-position-vertical-relative:page" fillcolor="#0e5d61" stroked="f">
            <w10:wrap anchorx="page" anchory="page"/>
          </v:rect>
        </w:pict>
      </w:r>
      <w:r>
        <w:pict>
          <v:group id="_x0000_s1056" style="position:absolute;margin-left:62.35pt;margin-top:37.4pt;width:532.95pt;height:25.2pt;z-index:251693056;mso-position-horizontal-relative:page;mso-position-vertical-relative:page" coordorigin="1247,748" coordsize="10659,504">
            <v:line id="_x0000_s1060" style="position:absolute" from="10616,748" to="10616,1247" strokecolor="#0e5d61" strokeweight="1.5mm"/>
            <v:line id="_x0000_s1059" style="position:absolute" from="1247,1247" to="11906,1247" strokecolor="#808285" strokeweight=".5pt"/>
            <v:shape id="_x0000_s1058"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57" type="#_x0000_t202" style="position:absolute;left:11084;top:802;width:331;height:355" filled="f" stroked="f">
              <v:textbox inset="0,0,0,0">
                <w:txbxContent>
                  <w:p w:rsidR="00C77EBB" w:rsidRDefault="00F51053">
                    <w:pPr>
                      <w:spacing w:line="334" w:lineRule="exact"/>
                      <w:rPr>
                        <w:b/>
                        <w:sz w:val="26"/>
                      </w:rPr>
                    </w:pPr>
                    <w:r>
                      <w:rPr>
                        <w:b/>
                        <w:color w:val="4D4D4F"/>
                        <w:sz w:val="26"/>
                      </w:rPr>
                      <w:t>15</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2638"/>
        <w:gridCol w:w="5266"/>
        <w:gridCol w:w="1487"/>
      </w:tblGrid>
      <w:tr w:rsidR="00C77EBB">
        <w:trPr>
          <w:trHeight w:val="392"/>
        </w:trPr>
        <w:tc>
          <w:tcPr>
            <w:tcW w:w="2638"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5266" w:type="dxa"/>
            <w:shd w:val="clear" w:color="auto" w:fill="0E5D61"/>
          </w:tcPr>
          <w:p w:rsidR="00C77EBB" w:rsidRDefault="00F51053">
            <w:pPr>
              <w:pStyle w:val="TableParagraph"/>
              <w:spacing w:before="62"/>
              <w:ind w:left="130"/>
              <w:rPr>
                <w:rFonts w:ascii="Nunito Sans SemiBold"/>
                <w:b/>
                <w:sz w:val="18"/>
              </w:rPr>
            </w:pPr>
            <w:r>
              <w:rPr>
                <w:rFonts w:ascii="Nunito Sans SemiBold"/>
                <w:b/>
                <w:color w:val="FFFFFF"/>
                <w:sz w:val="18"/>
              </w:rPr>
              <w:t>Definition</w:t>
            </w:r>
          </w:p>
        </w:tc>
        <w:tc>
          <w:tcPr>
            <w:tcW w:w="1487" w:type="dxa"/>
            <w:shd w:val="clear" w:color="auto" w:fill="0E5D61"/>
          </w:tcPr>
          <w:p w:rsidR="00C77EBB" w:rsidRDefault="00C77EBB">
            <w:pPr>
              <w:pStyle w:val="TableParagraph"/>
              <w:spacing w:before="0"/>
              <w:ind w:left="0"/>
              <w:rPr>
                <w:rFonts w:ascii="Times New Roman"/>
                <w:sz w:val="16"/>
              </w:rPr>
            </w:pPr>
          </w:p>
        </w:tc>
      </w:tr>
      <w:tr w:rsidR="00C77EBB">
        <w:trPr>
          <w:trHeight w:val="469"/>
        </w:trPr>
        <w:tc>
          <w:tcPr>
            <w:tcW w:w="2638" w:type="dxa"/>
            <w:tcBorders>
              <w:bottom w:val="single" w:sz="18" w:space="0" w:color="D7D6C7"/>
            </w:tcBorders>
          </w:tcPr>
          <w:p w:rsidR="00C77EBB" w:rsidRDefault="00F51053">
            <w:pPr>
              <w:pStyle w:val="TableParagraph"/>
              <w:spacing w:before="4"/>
              <w:rPr>
                <w:sz w:val="16"/>
              </w:rPr>
            </w:pPr>
            <w:r>
              <w:rPr>
                <w:color w:val="4D4D4F"/>
                <w:sz w:val="16"/>
              </w:rPr>
              <w:t>Benthic</w:t>
            </w:r>
          </w:p>
        </w:tc>
        <w:tc>
          <w:tcPr>
            <w:tcW w:w="6753" w:type="dxa"/>
            <w:gridSpan w:val="2"/>
            <w:tcBorders>
              <w:bottom w:val="single" w:sz="18" w:space="0" w:color="D7D6C7"/>
            </w:tcBorders>
          </w:tcPr>
          <w:p w:rsidR="00C77EBB" w:rsidRDefault="00F51053">
            <w:pPr>
              <w:pStyle w:val="TableParagraph"/>
              <w:spacing w:before="18" w:line="220" w:lineRule="auto"/>
              <w:ind w:left="129" w:right="52"/>
              <w:rPr>
                <w:sz w:val="16"/>
              </w:rPr>
            </w:pPr>
            <w:r>
              <w:rPr>
                <w:color w:val="4D4D4F"/>
                <w:sz w:val="16"/>
              </w:rPr>
              <w:t>The benthic zone is the ecological region at the lowest level of a body of water such as an ocean, including the sediment surface and some sub-surface layers</w:t>
            </w:r>
          </w:p>
        </w:tc>
      </w:tr>
      <w:tr w:rsidR="00C77EBB">
        <w:trPr>
          <w:trHeight w:val="286"/>
        </w:trPr>
        <w:tc>
          <w:tcPr>
            <w:tcW w:w="2638" w:type="dxa"/>
            <w:tcBorders>
              <w:top w:val="single" w:sz="18" w:space="0" w:color="D7D6C7"/>
              <w:bottom w:val="single" w:sz="18" w:space="0" w:color="D7D6C7"/>
            </w:tcBorders>
          </w:tcPr>
          <w:p w:rsidR="00C77EBB" w:rsidRDefault="00F51053">
            <w:pPr>
              <w:pStyle w:val="TableParagraph"/>
              <w:spacing w:line="245" w:lineRule="exact"/>
              <w:rPr>
                <w:sz w:val="16"/>
              </w:rPr>
            </w:pPr>
            <w:r>
              <w:rPr>
                <w:color w:val="4D4D4F"/>
                <w:sz w:val="16"/>
              </w:rPr>
              <w:t>Carbon Dioxide (CO</w:t>
            </w:r>
            <w:r>
              <w:rPr>
                <w:color w:val="4D4D4F"/>
                <w:position w:val="-4"/>
                <w:sz w:val="9"/>
              </w:rPr>
              <w:t>2</w:t>
            </w:r>
            <w:r>
              <w:rPr>
                <w:color w:val="4D4D4F"/>
                <w:sz w:val="16"/>
              </w:rPr>
              <w:t>)</w:t>
            </w:r>
          </w:p>
        </w:tc>
        <w:tc>
          <w:tcPr>
            <w:tcW w:w="5266" w:type="dxa"/>
            <w:tcBorders>
              <w:top w:val="single" w:sz="18" w:space="0" w:color="D7D6C7"/>
              <w:bottom w:val="single" w:sz="18" w:space="0" w:color="D7D6C7"/>
            </w:tcBorders>
          </w:tcPr>
          <w:p w:rsidR="00C77EBB" w:rsidRDefault="00F51053">
            <w:pPr>
              <w:pStyle w:val="TableParagraph"/>
              <w:ind w:left="129"/>
              <w:rPr>
                <w:sz w:val="16"/>
              </w:rPr>
            </w:pPr>
            <w:r>
              <w:rPr>
                <w:color w:val="4D4D4F"/>
                <w:sz w:val="16"/>
              </w:rPr>
              <w:t>A greenhouse gas</w:t>
            </w:r>
          </w:p>
        </w:tc>
        <w:tc>
          <w:tcPr>
            <w:tcW w:w="1487"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Carbon Dioxide equivalent (CO</w:t>
            </w:r>
            <w:r>
              <w:rPr>
                <w:color w:val="4D4D4F"/>
                <w:position w:val="-4"/>
                <w:sz w:val="9"/>
              </w:rPr>
              <w:t>2-e</w:t>
            </w:r>
            <w:r>
              <w:rPr>
                <w:color w:val="4D4D4F"/>
                <w:sz w:val="16"/>
              </w:rPr>
              <w:t>)</w:t>
            </w:r>
          </w:p>
        </w:tc>
        <w:tc>
          <w:tcPr>
            <w:tcW w:w="5266" w:type="dxa"/>
            <w:tcBorders>
              <w:top w:val="single" w:sz="18" w:space="0" w:color="D7D6C7"/>
              <w:bottom w:val="single" w:sz="18" w:space="0" w:color="D7D6C7"/>
            </w:tcBorders>
          </w:tcPr>
          <w:p w:rsidR="00C77EBB" w:rsidRDefault="00F51053">
            <w:pPr>
              <w:pStyle w:val="TableParagraph"/>
              <w:spacing w:before="50" w:line="192" w:lineRule="auto"/>
              <w:ind w:left="129"/>
              <w:rPr>
                <w:sz w:val="16"/>
              </w:rPr>
            </w:pPr>
            <w:r>
              <w:rPr>
                <w:color w:val="4D4D4F"/>
                <w:sz w:val="16"/>
              </w:rPr>
              <w:t>Incorporates CO</w:t>
            </w:r>
            <w:r>
              <w:rPr>
                <w:color w:val="4D4D4F"/>
                <w:position w:val="-4"/>
                <w:sz w:val="9"/>
              </w:rPr>
              <w:t xml:space="preserve">2 </w:t>
            </w:r>
            <w:r>
              <w:rPr>
                <w:color w:val="4D4D4F"/>
                <w:sz w:val="16"/>
              </w:rPr>
              <w:t>as well as other greenhouse gases, converted to CO</w:t>
            </w:r>
            <w:r>
              <w:rPr>
                <w:color w:val="4D4D4F"/>
                <w:position w:val="-4"/>
                <w:sz w:val="9"/>
              </w:rPr>
              <w:t xml:space="preserve">2 </w:t>
            </w:r>
            <w:r>
              <w:rPr>
                <w:color w:val="4D4D4F"/>
                <w:sz w:val="16"/>
              </w:rPr>
              <w:t>respective global warming potentials</w:t>
            </w:r>
          </w:p>
        </w:tc>
        <w:tc>
          <w:tcPr>
            <w:tcW w:w="1487" w:type="dxa"/>
            <w:tcBorders>
              <w:top w:val="single" w:sz="18" w:space="0" w:color="D7D6C7"/>
              <w:bottom w:val="single" w:sz="18" w:space="0" w:color="D7D6C7"/>
            </w:tcBorders>
          </w:tcPr>
          <w:p w:rsidR="00C77EBB" w:rsidRDefault="00F51053">
            <w:pPr>
              <w:pStyle w:val="TableParagraph"/>
              <w:ind w:left="21"/>
              <w:rPr>
                <w:sz w:val="16"/>
              </w:rPr>
            </w:pPr>
            <w:r>
              <w:rPr>
                <w:color w:val="4D4D4F"/>
                <w:sz w:val="16"/>
              </w:rPr>
              <w:t>equivalency using</w:t>
            </w: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Cathodic protection system</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Application of an electrical current to the pipeline exterior to prevent electrochemical corrosion.</w:t>
            </w:r>
          </w:p>
        </w:tc>
      </w:tr>
      <w:tr w:rsidR="00C77EBB">
        <w:trPr>
          <w:trHeight w:val="6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Climate</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The average weather experienced at a site or region over a period of many years, ranging from months to many thousands of years. The relevant measu</w:t>
            </w:r>
            <w:r>
              <w:rPr>
                <w:color w:val="4D4D4F"/>
                <w:sz w:val="16"/>
              </w:rPr>
              <w:t>red quantities are most often surface variables such as temperature, rainfall and wind.</w:t>
            </w:r>
          </w:p>
        </w:tc>
      </w:tr>
      <w:tr w:rsidR="00C77EBB">
        <w:trPr>
          <w:trHeight w:val="6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Climate change</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A change in the state of the climate that can be identified (e.g. by statistical tests) by changes in the mean and/or variability of its properties, and</w:t>
            </w:r>
            <w:r>
              <w:rPr>
                <w:color w:val="4D4D4F"/>
                <w:sz w:val="16"/>
              </w:rPr>
              <w:t xml:space="preserve"> that persists for an extended period of time, typically decades or longer.</w:t>
            </w:r>
          </w:p>
        </w:tc>
      </w:tr>
      <w:tr w:rsidR="00C77EBB">
        <w:trPr>
          <w:trHeight w:val="12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Climate projection</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239"/>
              <w:rPr>
                <w:sz w:val="16"/>
              </w:rPr>
            </w:pPr>
            <w:r>
              <w:rPr>
                <w:color w:val="4D4D4F"/>
                <w:spacing w:val="2"/>
                <w:sz w:val="16"/>
              </w:rPr>
              <w:t xml:space="preserve">The </w:t>
            </w:r>
            <w:r>
              <w:rPr>
                <w:color w:val="4D4D4F"/>
                <w:sz w:val="16"/>
              </w:rPr>
              <w:t xml:space="preserve">simulated response of the climate </w:t>
            </w:r>
            <w:r>
              <w:rPr>
                <w:color w:val="4D4D4F"/>
                <w:spacing w:val="2"/>
                <w:sz w:val="16"/>
              </w:rPr>
              <w:t xml:space="preserve">system </w:t>
            </w:r>
            <w:r>
              <w:rPr>
                <w:color w:val="4D4D4F"/>
                <w:sz w:val="16"/>
              </w:rPr>
              <w:t>to a scenario of future emission or concentration of greenhouse gases and aerosols, generally derived using climate</w:t>
            </w:r>
            <w:r>
              <w:rPr>
                <w:color w:val="4D4D4F"/>
                <w:sz w:val="16"/>
              </w:rPr>
              <w:t xml:space="preserve"> models. Climate </w:t>
            </w:r>
            <w:r>
              <w:rPr>
                <w:color w:val="4D4D4F"/>
                <w:spacing w:val="2"/>
                <w:sz w:val="16"/>
              </w:rPr>
              <w:t xml:space="preserve">projections </w:t>
            </w:r>
            <w:r>
              <w:rPr>
                <w:color w:val="4D4D4F"/>
                <w:sz w:val="16"/>
              </w:rPr>
              <w:t xml:space="preserve">are distinguished from climate </w:t>
            </w:r>
            <w:r>
              <w:rPr>
                <w:color w:val="4D4D4F"/>
                <w:spacing w:val="2"/>
                <w:sz w:val="16"/>
              </w:rPr>
              <w:t xml:space="preserve">predictions </w:t>
            </w:r>
            <w:r>
              <w:rPr>
                <w:color w:val="4D4D4F"/>
                <w:sz w:val="16"/>
              </w:rPr>
              <w:t>by their dependence on   the</w:t>
            </w:r>
            <w:r>
              <w:rPr>
                <w:color w:val="4D4D4F"/>
                <w:spacing w:val="4"/>
                <w:sz w:val="16"/>
              </w:rPr>
              <w:t xml:space="preserve"> </w:t>
            </w:r>
            <w:r>
              <w:rPr>
                <w:color w:val="4D4D4F"/>
                <w:sz w:val="16"/>
              </w:rPr>
              <w:t>emission</w:t>
            </w:r>
            <w:r>
              <w:rPr>
                <w:color w:val="4D4D4F"/>
                <w:spacing w:val="5"/>
                <w:sz w:val="16"/>
              </w:rPr>
              <w:t xml:space="preserve"> </w:t>
            </w:r>
            <w:r>
              <w:rPr>
                <w:color w:val="4D4D4F"/>
                <w:sz w:val="16"/>
              </w:rPr>
              <w:t>/</w:t>
            </w:r>
            <w:r>
              <w:rPr>
                <w:color w:val="4D4D4F"/>
                <w:spacing w:val="5"/>
                <w:sz w:val="16"/>
              </w:rPr>
              <w:t xml:space="preserve"> </w:t>
            </w:r>
            <w:r>
              <w:rPr>
                <w:color w:val="4D4D4F"/>
                <w:sz w:val="16"/>
              </w:rPr>
              <w:t>concentration</w:t>
            </w:r>
            <w:r>
              <w:rPr>
                <w:color w:val="4D4D4F"/>
                <w:spacing w:val="4"/>
                <w:sz w:val="16"/>
              </w:rPr>
              <w:t xml:space="preserve"> </w:t>
            </w:r>
            <w:r>
              <w:rPr>
                <w:color w:val="4D4D4F"/>
                <w:sz w:val="16"/>
              </w:rPr>
              <w:t>/</w:t>
            </w:r>
            <w:r>
              <w:rPr>
                <w:color w:val="4D4D4F"/>
                <w:spacing w:val="5"/>
                <w:sz w:val="16"/>
              </w:rPr>
              <w:t xml:space="preserve"> </w:t>
            </w:r>
            <w:r>
              <w:rPr>
                <w:color w:val="4D4D4F"/>
                <w:sz w:val="16"/>
              </w:rPr>
              <w:t>radiative</w:t>
            </w:r>
            <w:r>
              <w:rPr>
                <w:color w:val="4D4D4F"/>
                <w:spacing w:val="5"/>
                <w:sz w:val="16"/>
              </w:rPr>
              <w:t xml:space="preserve"> </w:t>
            </w:r>
            <w:r>
              <w:rPr>
                <w:color w:val="4D4D4F"/>
                <w:sz w:val="16"/>
              </w:rPr>
              <w:t>forcing</w:t>
            </w:r>
            <w:r>
              <w:rPr>
                <w:color w:val="4D4D4F"/>
                <w:spacing w:val="5"/>
                <w:sz w:val="16"/>
              </w:rPr>
              <w:t xml:space="preserve"> </w:t>
            </w:r>
            <w:r>
              <w:rPr>
                <w:color w:val="4D4D4F"/>
                <w:sz w:val="16"/>
              </w:rPr>
              <w:t>scenario</w:t>
            </w:r>
            <w:r>
              <w:rPr>
                <w:color w:val="4D4D4F"/>
                <w:spacing w:val="4"/>
                <w:sz w:val="16"/>
              </w:rPr>
              <w:t xml:space="preserve"> </w:t>
            </w:r>
            <w:r>
              <w:rPr>
                <w:color w:val="4D4D4F"/>
                <w:sz w:val="16"/>
              </w:rPr>
              <w:t>used,</w:t>
            </w:r>
            <w:r>
              <w:rPr>
                <w:color w:val="4D4D4F"/>
                <w:spacing w:val="5"/>
                <w:sz w:val="16"/>
              </w:rPr>
              <w:t xml:space="preserve"> </w:t>
            </w:r>
            <w:r>
              <w:rPr>
                <w:color w:val="4D4D4F"/>
                <w:sz w:val="16"/>
              </w:rPr>
              <w:t>which</w:t>
            </w:r>
            <w:r>
              <w:rPr>
                <w:color w:val="4D4D4F"/>
                <w:spacing w:val="5"/>
                <w:sz w:val="16"/>
              </w:rPr>
              <w:t xml:space="preserve"> </w:t>
            </w:r>
            <w:r>
              <w:rPr>
                <w:color w:val="4D4D4F"/>
                <w:sz w:val="16"/>
              </w:rPr>
              <w:t>in</w:t>
            </w:r>
            <w:r>
              <w:rPr>
                <w:color w:val="4D4D4F"/>
                <w:spacing w:val="4"/>
                <w:sz w:val="16"/>
              </w:rPr>
              <w:t xml:space="preserve"> </w:t>
            </w:r>
            <w:r>
              <w:rPr>
                <w:color w:val="4D4D4F"/>
                <w:sz w:val="16"/>
              </w:rPr>
              <w:t>turn</w:t>
            </w:r>
            <w:r>
              <w:rPr>
                <w:color w:val="4D4D4F"/>
                <w:spacing w:val="5"/>
                <w:sz w:val="16"/>
              </w:rPr>
              <w:t xml:space="preserve"> </w:t>
            </w:r>
            <w:r>
              <w:rPr>
                <w:color w:val="4D4D4F"/>
                <w:sz w:val="16"/>
              </w:rPr>
              <w:t>is</w:t>
            </w:r>
            <w:r>
              <w:rPr>
                <w:color w:val="4D4D4F"/>
                <w:spacing w:val="5"/>
                <w:sz w:val="16"/>
              </w:rPr>
              <w:t xml:space="preserve"> </w:t>
            </w:r>
            <w:r>
              <w:rPr>
                <w:color w:val="4D4D4F"/>
                <w:sz w:val="16"/>
              </w:rPr>
              <w:t>based</w:t>
            </w:r>
          </w:p>
          <w:p w:rsidR="00C77EBB" w:rsidRDefault="00F51053">
            <w:pPr>
              <w:pStyle w:val="TableParagraph"/>
              <w:spacing w:before="0" w:line="220" w:lineRule="auto"/>
              <w:ind w:left="129" w:right="52"/>
              <w:rPr>
                <w:sz w:val="16"/>
              </w:rPr>
            </w:pPr>
            <w:r>
              <w:rPr>
                <w:color w:val="4D4D4F"/>
                <w:sz w:val="16"/>
              </w:rPr>
              <w:t>on assumptions concerning, for example, future socioeconomic and technological developments that may or may not be realised.</w:t>
            </w: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Community</w:t>
            </w:r>
          </w:p>
        </w:tc>
        <w:tc>
          <w:tcPr>
            <w:tcW w:w="6753" w:type="dxa"/>
            <w:gridSpan w:val="2"/>
            <w:tcBorders>
              <w:top w:val="single" w:sz="18" w:space="0" w:color="D7D6C7"/>
              <w:bottom w:val="single" w:sz="18" w:space="0" w:color="D7D6C7"/>
            </w:tcBorders>
          </w:tcPr>
          <w:p w:rsidR="00C77EBB" w:rsidRDefault="00F51053">
            <w:pPr>
              <w:pStyle w:val="TableParagraph"/>
              <w:spacing w:line="209" w:lineRule="exact"/>
              <w:ind w:left="129"/>
              <w:rPr>
                <w:sz w:val="16"/>
              </w:rPr>
            </w:pPr>
            <w:r>
              <w:rPr>
                <w:color w:val="4D4D4F"/>
                <w:sz w:val="16"/>
              </w:rPr>
              <w:t>A group of people living in a specific geographical area or with mutual interests that could</w:t>
            </w:r>
          </w:p>
          <w:p w:rsidR="00C77EBB" w:rsidRDefault="00F51053">
            <w:pPr>
              <w:pStyle w:val="TableParagraph"/>
              <w:spacing w:before="0" w:line="209" w:lineRule="exact"/>
              <w:ind w:left="129"/>
              <w:rPr>
                <w:sz w:val="16"/>
              </w:rPr>
            </w:pPr>
            <w:r>
              <w:rPr>
                <w:color w:val="4D4D4F"/>
                <w:sz w:val="16"/>
              </w:rPr>
              <w:t>be affected by the Project.</w:t>
            </w:r>
          </w:p>
        </w:tc>
      </w:tr>
      <w:tr w:rsidR="00C77EBB">
        <w:trPr>
          <w:trHeight w:val="2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Control</w:t>
            </w:r>
          </w:p>
        </w:tc>
        <w:tc>
          <w:tcPr>
            <w:tcW w:w="5266" w:type="dxa"/>
            <w:tcBorders>
              <w:top w:val="single" w:sz="18" w:space="0" w:color="D7D6C7"/>
              <w:bottom w:val="single" w:sz="18" w:space="0" w:color="D7D6C7"/>
            </w:tcBorders>
          </w:tcPr>
          <w:p w:rsidR="00C77EBB" w:rsidRDefault="00F51053">
            <w:pPr>
              <w:pStyle w:val="TableParagraph"/>
              <w:ind w:left="129"/>
              <w:rPr>
                <w:sz w:val="16"/>
              </w:rPr>
            </w:pPr>
            <w:r>
              <w:rPr>
                <w:color w:val="4D4D4F"/>
                <w:sz w:val="16"/>
              </w:rPr>
              <w:t>Measures that are modifying the risk level.</w:t>
            </w:r>
          </w:p>
        </w:tc>
        <w:tc>
          <w:tcPr>
            <w:tcW w:w="1487"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Construction</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Includes all physical work required to construct the new structures of Project, for example, laying pipe.</w:t>
            </w:r>
          </w:p>
        </w:tc>
      </w:tr>
      <w:tr w:rsidR="00C77EBB">
        <w:trPr>
          <w:trHeight w:val="6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Construction footprint</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The area of land directly disturbed for construction of the Project consisting of the construction right of way, laydown areas</w:t>
            </w:r>
            <w:r>
              <w:rPr>
                <w:color w:val="4D4D4F"/>
                <w:sz w:val="16"/>
              </w:rPr>
              <w:t>, temporary access tracks and any other ancillary facilities required to construct the Project.</w:t>
            </w: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Contaminated soil</w:t>
            </w:r>
          </w:p>
        </w:tc>
        <w:tc>
          <w:tcPr>
            <w:tcW w:w="6753" w:type="dxa"/>
            <w:gridSpan w:val="2"/>
            <w:tcBorders>
              <w:top w:val="single" w:sz="18" w:space="0" w:color="D7D6C7"/>
              <w:bottom w:val="single" w:sz="18" w:space="0" w:color="D7D6C7"/>
            </w:tcBorders>
          </w:tcPr>
          <w:p w:rsidR="00C77EBB" w:rsidRDefault="00F51053">
            <w:pPr>
              <w:pStyle w:val="TableParagraph"/>
              <w:spacing w:before="35" w:line="220" w:lineRule="auto"/>
              <w:ind w:left="129" w:right="52"/>
              <w:rPr>
                <w:sz w:val="16"/>
              </w:rPr>
            </w:pPr>
            <w:r>
              <w:rPr>
                <w:color w:val="4D4D4F"/>
                <w:sz w:val="16"/>
              </w:rPr>
              <w:t>Soil is considered to be contaminated when concentrations of compounds can be detected above naturally occurring (where applicable) background concentrations.</w:t>
            </w:r>
          </w:p>
        </w:tc>
      </w:tr>
      <w:tr w:rsidR="00C77EBB">
        <w:trPr>
          <w:trHeight w:val="2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Crown land</w:t>
            </w:r>
          </w:p>
        </w:tc>
        <w:tc>
          <w:tcPr>
            <w:tcW w:w="5266" w:type="dxa"/>
            <w:tcBorders>
              <w:top w:val="single" w:sz="18" w:space="0" w:color="D7D6C7"/>
              <w:bottom w:val="single" w:sz="18" w:space="0" w:color="D7D6C7"/>
            </w:tcBorders>
          </w:tcPr>
          <w:p w:rsidR="00C77EBB" w:rsidRDefault="00F51053">
            <w:pPr>
              <w:pStyle w:val="TableParagraph"/>
              <w:ind w:left="129"/>
              <w:rPr>
                <w:sz w:val="16"/>
              </w:rPr>
            </w:pPr>
            <w:r>
              <w:rPr>
                <w:color w:val="4D4D4F"/>
                <w:sz w:val="16"/>
              </w:rPr>
              <w:t>Land that is owned and managed by the State Government.</w:t>
            </w:r>
          </w:p>
        </w:tc>
        <w:tc>
          <w:tcPr>
            <w:tcW w:w="1487"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r w:rsidR="00C77EBB">
        <w:trPr>
          <w:trHeight w:val="4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Cryogenic</w:t>
            </w:r>
          </w:p>
        </w:tc>
        <w:tc>
          <w:tcPr>
            <w:tcW w:w="6753" w:type="dxa"/>
            <w:gridSpan w:val="2"/>
            <w:tcBorders>
              <w:top w:val="single" w:sz="18" w:space="0" w:color="D7D6C7"/>
              <w:bottom w:val="single" w:sz="18" w:space="0" w:color="D7D6C7"/>
            </w:tcBorders>
          </w:tcPr>
          <w:p w:rsidR="00C77EBB" w:rsidRDefault="00F51053">
            <w:pPr>
              <w:pStyle w:val="TableParagraph"/>
              <w:spacing w:line="209" w:lineRule="exact"/>
              <w:ind w:left="129"/>
              <w:rPr>
                <w:sz w:val="16"/>
              </w:rPr>
            </w:pPr>
            <w:r>
              <w:rPr>
                <w:color w:val="4D4D4F"/>
                <w:sz w:val="16"/>
              </w:rPr>
              <w:t>Cryogenics is the production and behaviour of materials at very low temperatures. The</w:t>
            </w:r>
          </w:p>
          <w:p w:rsidR="00C77EBB" w:rsidRDefault="00F51053">
            <w:pPr>
              <w:pStyle w:val="TableParagraph"/>
              <w:spacing w:before="0" w:line="209" w:lineRule="exact"/>
              <w:ind w:left="129"/>
              <w:rPr>
                <w:sz w:val="16"/>
              </w:rPr>
            </w:pPr>
            <w:r>
              <w:rPr>
                <w:color w:val="4D4D4F"/>
                <w:sz w:val="16"/>
              </w:rPr>
              <w:t>cryogenic temperature range has been defined as from −150 °C to absolute zero (−273 °C)</w:t>
            </w:r>
          </w:p>
        </w:tc>
      </w:tr>
      <w:tr w:rsidR="00C77EBB">
        <w:trPr>
          <w:trHeight w:val="286"/>
        </w:trPr>
        <w:tc>
          <w:tcPr>
            <w:tcW w:w="2638" w:type="dxa"/>
            <w:tcBorders>
              <w:top w:val="single" w:sz="18" w:space="0" w:color="D7D6C7"/>
              <w:bottom w:val="single" w:sz="18" w:space="0" w:color="D7D6C7"/>
            </w:tcBorders>
          </w:tcPr>
          <w:p w:rsidR="00C77EBB" w:rsidRDefault="00F51053">
            <w:pPr>
              <w:pStyle w:val="TableParagraph"/>
              <w:rPr>
                <w:sz w:val="16"/>
              </w:rPr>
            </w:pPr>
            <w:r>
              <w:rPr>
                <w:color w:val="4D4D4F"/>
                <w:sz w:val="16"/>
              </w:rPr>
              <w:t>Decibel [dB]</w:t>
            </w:r>
          </w:p>
        </w:tc>
        <w:tc>
          <w:tcPr>
            <w:tcW w:w="5266" w:type="dxa"/>
            <w:tcBorders>
              <w:top w:val="single" w:sz="18" w:space="0" w:color="D7D6C7"/>
              <w:bottom w:val="single" w:sz="18" w:space="0" w:color="D7D6C7"/>
            </w:tcBorders>
          </w:tcPr>
          <w:p w:rsidR="00C77EBB" w:rsidRDefault="00F51053">
            <w:pPr>
              <w:pStyle w:val="TableParagraph"/>
              <w:ind w:left="129"/>
              <w:rPr>
                <w:sz w:val="16"/>
              </w:rPr>
            </w:pPr>
            <w:r>
              <w:rPr>
                <w:color w:val="4D4D4F"/>
                <w:sz w:val="16"/>
              </w:rPr>
              <w:t>The measurement unit of sound.</w:t>
            </w:r>
          </w:p>
        </w:tc>
        <w:tc>
          <w:tcPr>
            <w:tcW w:w="1487"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r>
    </w:tbl>
    <w:p w:rsidR="00C77EBB" w:rsidRDefault="00C77EBB">
      <w:pPr>
        <w:rPr>
          <w:rFonts w:ascii="Times New Roman"/>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55" style="position:absolute;margin-left:0;margin-top:124.5pt;width:14.15pt;height:39.7pt;z-index:251694080;mso-position-horizontal-relative:page;mso-position-vertical-relative:page" fillcolor="#0e5d61" stroked="f">
            <w10:wrap anchorx="page" anchory="page"/>
          </v:rect>
        </w:pict>
      </w:r>
      <w:r>
        <w:pict>
          <v:group id="_x0000_s1050" style="position:absolute;margin-left:0;margin-top:37.4pt;width:532.95pt;height:25.2pt;z-index:-254642176;mso-position-horizontal-relative:page;mso-position-vertical-relative:page" coordorigin=",748" coordsize="10659,504">
            <v:line id="_x0000_s1054" style="position:absolute" from="1290,748" to="1290,1247" strokecolor="#0e5d61" strokeweight="1.5mm"/>
            <v:line id="_x0000_s1053" style="position:absolute" from="0,1247" to="10658,1247" strokecolor="#808285" strokeweight=".5pt"/>
            <v:shape id="_x0000_s1052" type="#_x0000_t202" style="position:absolute;left:510;top:802;width:324;height:355" filled="f" stroked="f">
              <v:textbox inset="0,0,0,0">
                <w:txbxContent>
                  <w:p w:rsidR="00C77EBB" w:rsidRDefault="00F51053">
                    <w:pPr>
                      <w:spacing w:line="334" w:lineRule="exact"/>
                      <w:rPr>
                        <w:b/>
                        <w:sz w:val="26"/>
                      </w:rPr>
                    </w:pPr>
                    <w:r>
                      <w:rPr>
                        <w:b/>
                        <w:color w:val="4D4D4F"/>
                        <w:sz w:val="26"/>
                      </w:rPr>
                      <w:t>16</w:t>
                    </w:r>
                  </w:p>
                </w:txbxContent>
              </v:textbox>
            </v:shape>
            <v:shape id="_x0000_s1051"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2427"/>
        <w:gridCol w:w="6964"/>
      </w:tblGrid>
      <w:tr w:rsidR="00C77EBB">
        <w:trPr>
          <w:trHeight w:val="392"/>
        </w:trPr>
        <w:tc>
          <w:tcPr>
            <w:tcW w:w="2427"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6964" w:type="dxa"/>
            <w:shd w:val="clear" w:color="auto" w:fill="0E5D61"/>
          </w:tcPr>
          <w:p w:rsidR="00C77EBB" w:rsidRDefault="00F51053">
            <w:pPr>
              <w:pStyle w:val="TableParagraph"/>
              <w:spacing w:before="62"/>
              <w:ind w:left="341"/>
              <w:rPr>
                <w:rFonts w:ascii="Nunito Sans SemiBold"/>
                <w:b/>
                <w:sz w:val="18"/>
              </w:rPr>
            </w:pPr>
            <w:r>
              <w:rPr>
                <w:rFonts w:ascii="Nunito Sans SemiBold"/>
                <w:b/>
                <w:color w:val="FFFFFF"/>
                <w:sz w:val="18"/>
              </w:rPr>
              <w:t>Definition</w:t>
            </w:r>
          </w:p>
        </w:tc>
      </w:tr>
      <w:tr w:rsidR="00C77EBB">
        <w:trPr>
          <w:trHeight w:val="5006"/>
        </w:trPr>
        <w:tc>
          <w:tcPr>
            <w:tcW w:w="2427" w:type="dxa"/>
            <w:tcBorders>
              <w:bottom w:val="single" w:sz="18" w:space="0" w:color="D7D6C7"/>
            </w:tcBorders>
          </w:tcPr>
          <w:p w:rsidR="00C77EBB" w:rsidRDefault="00F51053">
            <w:pPr>
              <w:pStyle w:val="TableParagraph"/>
              <w:spacing w:before="4"/>
              <w:rPr>
                <w:sz w:val="16"/>
              </w:rPr>
            </w:pPr>
            <w:r>
              <w:rPr>
                <w:color w:val="4D4D4F"/>
                <w:sz w:val="16"/>
              </w:rPr>
              <w:t>Decibel scale</w:t>
            </w:r>
          </w:p>
        </w:tc>
        <w:tc>
          <w:tcPr>
            <w:tcW w:w="6964" w:type="dxa"/>
            <w:tcBorders>
              <w:bottom w:val="single" w:sz="18" w:space="0" w:color="D7D6C7"/>
            </w:tcBorders>
          </w:tcPr>
          <w:p w:rsidR="00C77EBB" w:rsidRDefault="00F51053">
            <w:pPr>
              <w:pStyle w:val="TableParagraph"/>
              <w:spacing w:before="18" w:line="220" w:lineRule="auto"/>
              <w:ind w:left="340" w:right="130"/>
              <w:rPr>
                <w:sz w:val="16"/>
              </w:rPr>
            </w:pPr>
            <w:r>
              <w:rPr>
                <w:color w:val="4D4D4F"/>
                <w:spacing w:val="2"/>
                <w:sz w:val="16"/>
              </w:rPr>
              <w:t xml:space="preserve">The </w:t>
            </w:r>
            <w:r>
              <w:rPr>
                <w:color w:val="4D4D4F"/>
                <w:sz w:val="16"/>
              </w:rPr>
              <w:t xml:space="preserve">decibel scale is logarithmic in order to produce a </w:t>
            </w:r>
            <w:r>
              <w:rPr>
                <w:color w:val="4D4D4F"/>
                <w:spacing w:val="2"/>
                <w:sz w:val="16"/>
              </w:rPr>
              <w:t xml:space="preserve">better </w:t>
            </w:r>
            <w:r>
              <w:rPr>
                <w:color w:val="4D4D4F"/>
                <w:sz w:val="16"/>
              </w:rPr>
              <w:t>representation of the response of the human ear.</w:t>
            </w:r>
          </w:p>
          <w:p w:rsidR="00C77EBB" w:rsidRDefault="00F51053">
            <w:pPr>
              <w:pStyle w:val="TableParagraph"/>
              <w:spacing w:before="55" w:line="220" w:lineRule="auto"/>
              <w:ind w:left="340" w:right="130"/>
              <w:rPr>
                <w:sz w:val="16"/>
              </w:rPr>
            </w:pPr>
            <w:r>
              <w:rPr>
                <w:color w:val="4D4D4F"/>
                <w:sz w:val="16"/>
              </w:rPr>
              <w:t>A three decibel increase in the sound pressure level corresponds to a doubling in sound energy. An increase or decrease of three decibels is typically considered to be the smallest change in sound level that a listener can detect. A change of five decibels</w:t>
            </w:r>
            <w:r>
              <w:rPr>
                <w:color w:val="4D4D4F"/>
                <w:sz w:val="16"/>
              </w:rPr>
              <w:t>, however, is clearly noticeable.</w:t>
            </w:r>
          </w:p>
          <w:p w:rsidR="00C77EBB" w:rsidRDefault="00F51053">
            <w:pPr>
              <w:pStyle w:val="TableParagraph"/>
              <w:spacing w:before="53" w:line="220" w:lineRule="auto"/>
              <w:ind w:left="340" w:right="130"/>
              <w:rPr>
                <w:sz w:val="16"/>
              </w:rPr>
            </w:pPr>
            <w:r>
              <w:rPr>
                <w:color w:val="4D4D4F"/>
                <w:sz w:val="16"/>
              </w:rPr>
              <w:t>A 10 dB increase in the sound pressure level corresponds to a perceived doubling in volume. This increase is typically perceived to sound twice as loud.</w:t>
            </w:r>
          </w:p>
          <w:p w:rsidR="00C77EBB" w:rsidRDefault="00F51053">
            <w:pPr>
              <w:pStyle w:val="TableParagraph"/>
              <w:spacing w:before="56" w:line="220" w:lineRule="auto"/>
              <w:ind w:left="340"/>
              <w:rPr>
                <w:sz w:val="16"/>
              </w:rPr>
            </w:pPr>
            <w:r>
              <w:rPr>
                <w:color w:val="4D4D4F"/>
                <w:spacing w:val="2"/>
                <w:sz w:val="16"/>
              </w:rPr>
              <w:t xml:space="preserve">The </w:t>
            </w:r>
            <w:r>
              <w:rPr>
                <w:color w:val="4D4D4F"/>
                <w:sz w:val="16"/>
              </w:rPr>
              <w:t xml:space="preserve">sound pressure level that would be </w:t>
            </w:r>
            <w:r>
              <w:rPr>
                <w:color w:val="4D4D4F"/>
                <w:spacing w:val="2"/>
                <w:sz w:val="16"/>
              </w:rPr>
              <w:t xml:space="preserve">typically </w:t>
            </w:r>
            <w:r>
              <w:rPr>
                <w:color w:val="4D4D4F"/>
                <w:sz w:val="16"/>
              </w:rPr>
              <w:t>experienced when exp</w:t>
            </w:r>
            <w:r>
              <w:rPr>
                <w:color w:val="4D4D4F"/>
                <w:sz w:val="16"/>
              </w:rPr>
              <w:t xml:space="preserve">osed to </w:t>
            </w:r>
            <w:r>
              <w:rPr>
                <w:color w:val="4D4D4F"/>
                <w:spacing w:val="2"/>
                <w:sz w:val="16"/>
              </w:rPr>
              <w:t xml:space="preserve">different </w:t>
            </w:r>
            <w:r>
              <w:rPr>
                <w:color w:val="4D4D4F"/>
                <w:sz w:val="16"/>
              </w:rPr>
              <w:t>sources:</w:t>
            </w:r>
          </w:p>
          <w:p w:rsidR="00C77EBB" w:rsidRDefault="00F51053">
            <w:pPr>
              <w:pStyle w:val="TableParagraph"/>
              <w:spacing w:before="0" w:line="203" w:lineRule="exact"/>
              <w:ind w:left="340"/>
              <w:rPr>
                <w:sz w:val="16"/>
              </w:rPr>
            </w:pPr>
            <w:r>
              <w:rPr>
                <w:color w:val="4D4D4F"/>
                <w:sz w:val="16"/>
              </w:rPr>
              <w:t>0</w:t>
            </w:r>
            <w:r>
              <w:rPr>
                <w:color w:val="4D4D4F"/>
                <w:spacing w:val="2"/>
                <w:sz w:val="16"/>
              </w:rPr>
              <w:t xml:space="preserve"> dB(A)</w:t>
            </w:r>
          </w:p>
          <w:p w:rsidR="00C77EBB" w:rsidRDefault="00F51053">
            <w:pPr>
              <w:pStyle w:val="TableParagraph"/>
              <w:spacing w:before="38"/>
              <w:ind w:left="340"/>
              <w:rPr>
                <w:sz w:val="16"/>
              </w:rPr>
            </w:pPr>
            <w:r>
              <w:rPr>
                <w:color w:val="4D4D4F"/>
                <w:sz w:val="16"/>
              </w:rPr>
              <w:t>30</w:t>
            </w:r>
            <w:r>
              <w:rPr>
                <w:color w:val="4D4D4F"/>
                <w:spacing w:val="5"/>
                <w:sz w:val="16"/>
              </w:rPr>
              <w:t xml:space="preserve"> </w:t>
            </w:r>
            <w:r>
              <w:rPr>
                <w:color w:val="4D4D4F"/>
                <w:spacing w:val="2"/>
                <w:sz w:val="16"/>
              </w:rPr>
              <w:t>dB(A)</w:t>
            </w:r>
          </w:p>
          <w:p w:rsidR="00C77EBB" w:rsidRDefault="00F51053">
            <w:pPr>
              <w:pStyle w:val="TableParagraph"/>
              <w:spacing w:before="38"/>
              <w:ind w:left="340"/>
              <w:rPr>
                <w:sz w:val="16"/>
              </w:rPr>
            </w:pPr>
            <w:r>
              <w:rPr>
                <w:color w:val="4D4D4F"/>
                <w:spacing w:val="2"/>
                <w:sz w:val="16"/>
              </w:rPr>
              <w:t>40</w:t>
            </w:r>
            <w:r>
              <w:rPr>
                <w:color w:val="4D4D4F"/>
                <w:spacing w:val="3"/>
                <w:sz w:val="16"/>
              </w:rPr>
              <w:t xml:space="preserve"> </w:t>
            </w:r>
            <w:r>
              <w:rPr>
                <w:color w:val="4D4D4F"/>
                <w:spacing w:val="2"/>
                <w:sz w:val="16"/>
              </w:rPr>
              <w:t>dB(A)</w:t>
            </w:r>
          </w:p>
          <w:p w:rsidR="00C77EBB" w:rsidRDefault="00F51053">
            <w:pPr>
              <w:pStyle w:val="TableParagraph"/>
              <w:spacing w:before="39"/>
              <w:ind w:left="340"/>
              <w:rPr>
                <w:sz w:val="16"/>
              </w:rPr>
            </w:pPr>
            <w:r>
              <w:rPr>
                <w:color w:val="4D4D4F"/>
                <w:sz w:val="16"/>
              </w:rPr>
              <w:t>50</w:t>
            </w:r>
            <w:r>
              <w:rPr>
                <w:color w:val="4D4D4F"/>
                <w:spacing w:val="6"/>
                <w:sz w:val="16"/>
              </w:rPr>
              <w:t xml:space="preserve"> </w:t>
            </w:r>
            <w:r>
              <w:rPr>
                <w:color w:val="4D4D4F"/>
                <w:spacing w:val="2"/>
                <w:sz w:val="16"/>
              </w:rPr>
              <w:t>dB(A)</w:t>
            </w:r>
          </w:p>
          <w:p w:rsidR="00C77EBB" w:rsidRDefault="00F51053">
            <w:pPr>
              <w:pStyle w:val="TableParagraph"/>
              <w:spacing w:before="38"/>
              <w:ind w:left="340"/>
              <w:rPr>
                <w:sz w:val="16"/>
              </w:rPr>
            </w:pPr>
            <w:r>
              <w:rPr>
                <w:color w:val="4D4D4F"/>
                <w:sz w:val="16"/>
              </w:rPr>
              <w:t xml:space="preserve">70 </w:t>
            </w:r>
            <w:r>
              <w:rPr>
                <w:color w:val="4D4D4F"/>
                <w:spacing w:val="2"/>
                <w:sz w:val="16"/>
              </w:rPr>
              <w:t>dB(A)</w:t>
            </w:r>
          </w:p>
          <w:p w:rsidR="00C77EBB" w:rsidRDefault="00F51053">
            <w:pPr>
              <w:pStyle w:val="TableParagraph"/>
              <w:spacing w:before="39"/>
              <w:ind w:left="340"/>
              <w:rPr>
                <w:sz w:val="16"/>
              </w:rPr>
            </w:pPr>
            <w:r>
              <w:rPr>
                <w:color w:val="4D4D4F"/>
                <w:sz w:val="16"/>
              </w:rPr>
              <w:t>80</w:t>
            </w:r>
            <w:r>
              <w:rPr>
                <w:color w:val="4D4D4F"/>
                <w:spacing w:val="6"/>
                <w:sz w:val="16"/>
              </w:rPr>
              <w:t xml:space="preserve"> </w:t>
            </w:r>
            <w:r>
              <w:rPr>
                <w:color w:val="4D4D4F"/>
                <w:spacing w:val="2"/>
                <w:sz w:val="16"/>
              </w:rPr>
              <w:t>dB(A)</w:t>
            </w:r>
          </w:p>
          <w:p w:rsidR="00C77EBB" w:rsidRDefault="00F51053">
            <w:pPr>
              <w:pStyle w:val="TableParagraph"/>
              <w:spacing w:before="38"/>
              <w:ind w:left="340"/>
              <w:rPr>
                <w:sz w:val="16"/>
              </w:rPr>
            </w:pPr>
            <w:r>
              <w:rPr>
                <w:color w:val="4D4D4F"/>
                <w:spacing w:val="2"/>
                <w:sz w:val="16"/>
              </w:rPr>
              <w:t>90</w:t>
            </w:r>
            <w:r>
              <w:rPr>
                <w:color w:val="4D4D4F"/>
                <w:spacing w:val="3"/>
                <w:sz w:val="16"/>
              </w:rPr>
              <w:t xml:space="preserve"> </w:t>
            </w:r>
            <w:r>
              <w:rPr>
                <w:color w:val="4D4D4F"/>
                <w:spacing w:val="2"/>
                <w:sz w:val="16"/>
              </w:rPr>
              <w:t>dB(A)</w:t>
            </w:r>
          </w:p>
          <w:p w:rsidR="00C77EBB" w:rsidRDefault="00F51053">
            <w:pPr>
              <w:pStyle w:val="TableParagraph"/>
              <w:spacing w:before="38"/>
              <w:ind w:left="340"/>
              <w:rPr>
                <w:sz w:val="16"/>
              </w:rPr>
            </w:pPr>
            <w:r>
              <w:rPr>
                <w:color w:val="4D4D4F"/>
                <w:sz w:val="16"/>
              </w:rPr>
              <w:t>100</w:t>
            </w:r>
            <w:r>
              <w:rPr>
                <w:color w:val="4D4D4F"/>
                <w:spacing w:val="4"/>
                <w:sz w:val="16"/>
              </w:rPr>
              <w:t xml:space="preserve"> </w:t>
            </w:r>
            <w:r>
              <w:rPr>
                <w:color w:val="4D4D4F"/>
                <w:spacing w:val="2"/>
                <w:sz w:val="16"/>
              </w:rPr>
              <w:t>dB(A)</w:t>
            </w:r>
          </w:p>
          <w:p w:rsidR="00C77EBB" w:rsidRDefault="00F51053">
            <w:pPr>
              <w:pStyle w:val="TableParagraph"/>
              <w:spacing w:before="39"/>
              <w:ind w:left="340"/>
              <w:rPr>
                <w:sz w:val="16"/>
              </w:rPr>
            </w:pPr>
            <w:r>
              <w:rPr>
                <w:color w:val="4D4D4F"/>
                <w:spacing w:val="-3"/>
                <w:sz w:val="16"/>
              </w:rPr>
              <w:t>110</w:t>
            </w:r>
            <w:r>
              <w:rPr>
                <w:color w:val="4D4D4F"/>
                <w:spacing w:val="4"/>
                <w:sz w:val="16"/>
              </w:rPr>
              <w:t xml:space="preserve"> </w:t>
            </w:r>
            <w:r>
              <w:rPr>
                <w:color w:val="4D4D4F"/>
                <w:spacing w:val="2"/>
                <w:sz w:val="16"/>
              </w:rPr>
              <w:t>dB(A)</w:t>
            </w:r>
          </w:p>
          <w:p w:rsidR="00C77EBB" w:rsidRDefault="00F51053">
            <w:pPr>
              <w:pStyle w:val="TableParagraph"/>
              <w:spacing w:before="38"/>
              <w:ind w:left="340"/>
              <w:rPr>
                <w:sz w:val="16"/>
              </w:rPr>
            </w:pPr>
            <w:r>
              <w:rPr>
                <w:color w:val="4D4D4F"/>
                <w:sz w:val="16"/>
              </w:rPr>
              <w:t>115</w:t>
            </w:r>
            <w:r>
              <w:rPr>
                <w:color w:val="4D4D4F"/>
                <w:spacing w:val="-2"/>
                <w:sz w:val="16"/>
              </w:rPr>
              <w:t xml:space="preserve"> </w:t>
            </w:r>
            <w:r>
              <w:rPr>
                <w:color w:val="4D4D4F"/>
                <w:spacing w:val="2"/>
                <w:sz w:val="16"/>
              </w:rPr>
              <w:t>dB(A)</w:t>
            </w:r>
          </w:p>
          <w:p w:rsidR="00C77EBB" w:rsidRDefault="00F51053">
            <w:pPr>
              <w:pStyle w:val="TableParagraph"/>
              <w:spacing w:before="39"/>
              <w:ind w:left="340"/>
              <w:rPr>
                <w:sz w:val="16"/>
              </w:rPr>
            </w:pPr>
            <w:r>
              <w:rPr>
                <w:color w:val="4D4D4F"/>
                <w:sz w:val="16"/>
              </w:rPr>
              <w:t>120</w:t>
            </w:r>
            <w:r>
              <w:rPr>
                <w:color w:val="4D4D4F"/>
                <w:spacing w:val="2"/>
                <w:sz w:val="16"/>
              </w:rPr>
              <w:t xml:space="preserve"> dB(A)</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Decommissioning</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color w:val="4D4D4F"/>
                <w:sz w:val="16"/>
              </w:rPr>
              <w:t>The process by which infrastructure is made inoperative at the end of its useful life.</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Demolition</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color w:val="4D4D4F"/>
                <w:sz w:val="16"/>
              </w:rPr>
              <w:t>Any activity involved with the removal of an existing structure (or structures).</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Dilution</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color w:val="4D4D4F"/>
                <w:sz w:val="16"/>
              </w:rPr>
              <w:t>Dilution is the process of decreasing the concentration of a solute in a solution,</w:t>
            </w:r>
          </w:p>
        </w:tc>
      </w:tr>
      <w:tr w:rsidR="00C77EBB">
        <w:trPr>
          <w:trHeight w:val="4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Direct light spill</w:t>
            </w:r>
          </w:p>
        </w:tc>
        <w:tc>
          <w:tcPr>
            <w:tcW w:w="6964" w:type="dxa"/>
            <w:tcBorders>
              <w:top w:val="single" w:sz="18" w:space="0" w:color="D7D6C7"/>
              <w:bottom w:val="single" w:sz="18" w:space="0" w:color="D7D6C7"/>
            </w:tcBorders>
          </w:tcPr>
          <w:p w:rsidR="00C77EBB" w:rsidRDefault="00F51053">
            <w:pPr>
              <w:pStyle w:val="TableParagraph"/>
              <w:spacing w:line="209" w:lineRule="exact"/>
              <w:ind w:left="340"/>
              <w:rPr>
                <w:sz w:val="16"/>
              </w:rPr>
            </w:pPr>
            <w:r>
              <w:rPr>
                <w:color w:val="4D4D4F"/>
                <w:sz w:val="16"/>
              </w:rPr>
              <w:t>Lux measurements from the light source. Does not include reflected light or glow from</w:t>
            </w:r>
          </w:p>
          <w:p w:rsidR="00C77EBB" w:rsidRDefault="00F51053">
            <w:pPr>
              <w:pStyle w:val="TableParagraph"/>
              <w:spacing w:before="0" w:line="209" w:lineRule="exact"/>
              <w:ind w:left="340"/>
              <w:rPr>
                <w:sz w:val="16"/>
              </w:rPr>
            </w:pPr>
            <w:r>
              <w:rPr>
                <w:color w:val="4D4D4F"/>
                <w:sz w:val="16"/>
              </w:rPr>
              <w:t>illuminated surfaces or objects.</w:t>
            </w:r>
          </w:p>
        </w:tc>
      </w:tr>
      <w:tr w:rsidR="00C77EBB">
        <w:trPr>
          <w:trHeight w:val="4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Downscaling</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Pr>
                <w:sz w:val="16"/>
              </w:rPr>
            </w:pPr>
            <w:r>
              <w:rPr>
                <w:color w:val="4D4D4F"/>
                <w:sz w:val="16"/>
              </w:rPr>
              <w:t>A method that derives local to regional-scale information from larger-scale models or data analyses. Different methods exist e.g. dynamical, statistical and empirical downscaling.</w:t>
            </w:r>
          </w:p>
        </w:tc>
      </w:tr>
      <w:tr w:rsidR="00C77EBB">
        <w:trPr>
          <w:trHeight w:val="8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Dust</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ight="171"/>
              <w:rPr>
                <w:sz w:val="16"/>
              </w:rPr>
            </w:pPr>
            <w:r>
              <w:rPr>
                <w:color w:val="4D4D4F"/>
                <w:sz w:val="16"/>
              </w:rPr>
              <w:t>Solid particles that are suspended in air or have settled out onto a s</w:t>
            </w:r>
            <w:r>
              <w:rPr>
                <w:color w:val="4D4D4F"/>
                <w:sz w:val="16"/>
              </w:rPr>
              <w:t>urface after having been suspended in air. The terms ‘dust’ and ‘particulate matter’ (PM) are often used interchangeably. In this report the term ‘dust’ has been used to include the particles that give rise to soiling, and to human health and ecological ef</w:t>
            </w:r>
            <w:r>
              <w:rPr>
                <w:color w:val="4D4D4F"/>
                <w:sz w:val="16"/>
              </w:rPr>
              <w:t>fects.</w:t>
            </w:r>
          </w:p>
        </w:tc>
      </w:tr>
      <w:tr w:rsidR="00C77EBB">
        <w:trPr>
          <w:trHeight w:val="4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Earthworks</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ight="130"/>
              <w:rPr>
                <w:sz w:val="16"/>
              </w:rPr>
            </w:pPr>
            <w:r>
              <w:rPr>
                <w:color w:val="4D4D4F"/>
                <w:sz w:val="16"/>
              </w:rPr>
              <w:t>All operations involved in loosening, excavating, placing, shaping and compacting soil or rock.</w:t>
            </w:r>
          </w:p>
        </w:tc>
      </w:tr>
      <w:tr w:rsidR="00C77EBB">
        <w:trPr>
          <w:trHeight w:val="743"/>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Easement</w:t>
            </w:r>
          </w:p>
        </w:tc>
        <w:tc>
          <w:tcPr>
            <w:tcW w:w="6964" w:type="dxa"/>
            <w:tcBorders>
              <w:top w:val="single" w:sz="18" w:space="0" w:color="D7D6C7"/>
              <w:bottom w:val="single" w:sz="18" w:space="0" w:color="D7D6C7"/>
            </w:tcBorders>
          </w:tcPr>
          <w:p w:rsidR="00C77EBB" w:rsidRDefault="00F51053">
            <w:pPr>
              <w:pStyle w:val="TableParagraph"/>
              <w:spacing w:line="209" w:lineRule="exact"/>
              <w:ind w:left="340"/>
              <w:rPr>
                <w:sz w:val="16"/>
              </w:rPr>
            </w:pPr>
            <w:r>
              <w:rPr>
                <w:color w:val="4D4D4F"/>
                <w:sz w:val="16"/>
              </w:rPr>
              <w:t>A right held by the proponent to make use of the land for a specific purpose (in this case,</w:t>
            </w:r>
          </w:p>
          <w:p w:rsidR="00C77EBB" w:rsidRDefault="00F51053">
            <w:pPr>
              <w:pStyle w:val="TableParagraph"/>
              <w:spacing w:before="0" w:line="209" w:lineRule="exact"/>
              <w:ind w:left="340"/>
              <w:rPr>
                <w:sz w:val="16"/>
              </w:rPr>
            </w:pPr>
            <w:r>
              <w:rPr>
                <w:color w:val="4D4D4F"/>
                <w:sz w:val="16"/>
              </w:rPr>
              <w:t>for the installation and operation of a pipeline).</w:t>
            </w:r>
          </w:p>
          <w:p w:rsidR="00C77EBB" w:rsidRDefault="00F51053">
            <w:pPr>
              <w:pStyle w:val="TableParagraph"/>
              <w:spacing w:before="38"/>
              <w:ind w:left="340"/>
              <w:rPr>
                <w:sz w:val="16"/>
              </w:rPr>
            </w:pPr>
            <w:r>
              <w:rPr>
                <w:color w:val="4D4D4F"/>
                <w:sz w:val="16"/>
              </w:rPr>
              <w:t>The easement for the Crib Point Pakenham pipeline will typically be 15 metres wide.</w:t>
            </w:r>
          </w:p>
        </w:tc>
      </w:tr>
      <w:tr w:rsidR="00C77EBB">
        <w:trPr>
          <w:trHeight w:val="6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Electrolysis</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Pr>
                <w:sz w:val="16"/>
              </w:rPr>
            </w:pPr>
            <w:r>
              <w:rPr>
                <w:color w:val="4D4D4F"/>
                <w:sz w:val="16"/>
              </w:rPr>
              <w:t>A process by which electric current is passed through a substance to effect a chemical change. In seawater, electrolysis breaks up the naturally occurring salt molecules (sodium chloride) and produces chlorine and hypochlorite.</w:t>
            </w:r>
          </w:p>
        </w:tc>
      </w:tr>
      <w:tr w:rsidR="00C77EBB">
        <w:trPr>
          <w:trHeight w:val="6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End of Line Scraper Station</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Pr>
                <w:sz w:val="16"/>
              </w:rPr>
            </w:pPr>
            <w:r>
              <w:rPr>
                <w:color w:val="4D4D4F"/>
                <w:sz w:val="16"/>
              </w:rPr>
              <w:t>An underground delivery facility situated at the connection point to the Victorian Transmission System east of Pakenham and used to launch and receive pipeline inspection gauges (pigs) into and from the pipeline system.</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Environment Effects Act</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i/>
                <w:color w:val="4D4D4F"/>
                <w:sz w:val="16"/>
              </w:rPr>
              <w:t>Environmen</w:t>
            </w:r>
            <w:r>
              <w:rPr>
                <w:i/>
                <w:color w:val="4D4D4F"/>
                <w:sz w:val="16"/>
              </w:rPr>
              <w:t xml:space="preserve">t Effects Act 1978 </w:t>
            </w:r>
            <w:r>
              <w:rPr>
                <w:color w:val="4D4D4F"/>
                <w:sz w:val="16"/>
              </w:rPr>
              <w:t>(Vic)</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Environment Protection Act</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i/>
                <w:color w:val="4D4D4F"/>
                <w:sz w:val="16"/>
              </w:rPr>
              <w:t xml:space="preserve">Environment Protection Act 1970 </w:t>
            </w:r>
            <w:r>
              <w:rPr>
                <w:color w:val="4D4D4F"/>
                <w:sz w:val="16"/>
              </w:rPr>
              <w:t>(Vic)</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EPBC Act</w:t>
            </w:r>
          </w:p>
        </w:tc>
        <w:tc>
          <w:tcPr>
            <w:tcW w:w="6964" w:type="dxa"/>
            <w:tcBorders>
              <w:top w:val="single" w:sz="18" w:space="0" w:color="D7D6C7"/>
              <w:bottom w:val="single" w:sz="18" w:space="0" w:color="D7D6C7"/>
            </w:tcBorders>
          </w:tcPr>
          <w:p w:rsidR="00C77EBB" w:rsidRDefault="00F51053">
            <w:pPr>
              <w:pStyle w:val="TableParagraph"/>
              <w:ind w:left="340"/>
              <w:rPr>
                <w:i/>
                <w:sz w:val="16"/>
              </w:rPr>
            </w:pPr>
            <w:r>
              <w:rPr>
                <w:i/>
                <w:color w:val="4D4D4F"/>
                <w:sz w:val="16"/>
              </w:rPr>
              <w:t>Environment Protection and Biodiversity Conservation Act 1999</w:t>
            </w:r>
          </w:p>
        </w:tc>
      </w:tr>
      <w:tr w:rsidR="00C77EBB">
        <w:trPr>
          <w:trHeight w:val="4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Erosion</w:t>
            </w:r>
          </w:p>
        </w:tc>
        <w:tc>
          <w:tcPr>
            <w:tcW w:w="6964" w:type="dxa"/>
            <w:tcBorders>
              <w:top w:val="single" w:sz="18" w:space="0" w:color="D7D6C7"/>
              <w:bottom w:val="single" w:sz="18" w:space="0" w:color="D7D6C7"/>
            </w:tcBorders>
          </w:tcPr>
          <w:p w:rsidR="00C77EBB" w:rsidRDefault="00F51053">
            <w:pPr>
              <w:pStyle w:val="TableParagraph"/>
              <w:spacing w:before="35" w:line="220" w:lineRule="auto"/>
              <w:ind w:left="340" w:right="130"/>
              <w:rPr>
                <w:sz w:val="16"/>
              </w:rPr>
            </w:pPr>
            <w:r>
              <w:rPr>
                <w:color w:val="4D4D4F"/>
                <w:sz w:val="16"/>
              </w:rPr>
              <w:t>A natural process where wind or water detaches a soil particle and provides energy to move the particle.</w:t>
            </w:r>
          </w:p>
        </w:tc>
      </w:tr>
      <w:tr w:rsidR="00C77EBB">
        <w:trPr>
          <w:trHeight w:val="286"/>
        </w:trPr>
        <w:tc>
          <w:tcPr>
            <w:tcW w:w="2427" w:type="dxa"/>
            <w:tcBorders>
              <w:top w:val="single" w:sz="18" w:space="0" w:color="D7D6C7"/>
              <w:bottom w:val="single" w:sz="18" w:space="0" w:color="D7D6C7"/>
            </w:tcBorders>
          </w:tcPr>
          <w:p w:rsidR="00C77EBB" w:rsidRDefault="00F51053">
            <w:pPr>
              <w:pStyle w:val="TableParagraph"/>
              <w:rPr>
                <w:sz w:val="16"/>
              </w:rPr>
            </w:pPr>
            <w:r>
              <w:rPr>
                <w:color w:val="4D4D4F"/>
                <w:sz w:val="16"/>
              </w:rPr>
              <w:t>Ephemeral waterway</w:t>
            </w:r>
          </w:p>
        </w:tc>
        <w:tc>
          <w:tcPr>
            <w:tcW w:w="6964" w:type="dxa"/>
            <w:tcBorders>
              <w:top w:val="single" w:sz="18" w:space="0" w:color="D7D6C7"/>
              <w:bottom w:val="single" w:sz="18" w:space="0" w:color="D7D6C7"/>
            </w:tcBorders>
          </w:tcPr>
          <w:p w:rsidR="00C77EBB" w:rsidRDefault="00F51053">
            <w:pPr>
              <w:pStyle w:val="TableParagraph"/>
              <w:ind w:left="340"/>
              <w:rPr>
                <w:sz w:val="16"/>
              </w:rPr>
            </w:pPr>
            <w:r>
              <w:rPr>
                <w:color w:val="4D4D4F"/>
                <w:sz w:val="16"/>
              </w:rPr>
              <w:t>A waterway which flows only after rain and has no baseflow component</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49" style="position:absolute;margin-left:581.1pt;margin-top:124.5pt;width:14.15pt;height:39.7pt;z-index:251698176;mso-position-horizontal-relative:page;mso-position-vertical-relative:page" fillcolor="#0e5d61" stroked="f">
            <w10:wrap anchorx="page" anchory="page"/>
          </v:rect>
        </w:pict>
      </w:r>
      <w:r>
        <w:pict>
          <v:group id="_x0000_s1044" style="position:absolute;margin-left:62.35pt;margin-top:37.4pt;width:532.95pt;height:25.2pt;z-index:251701248;mso-position-horizontal-relative:page;mso-position-vertical-relative:page" coordorigin="1247,748" coordsize="10659,504">
            <v:line id="_x0000_s1048" style="position:absolute" from="10616,748" to="10616,1247" strokecolor="#0e5d61" strokeweight="1.5mm"/>
            <v:line id="_x0000_s1047" style="position:absolute" from="1247,1247" to="11906,1247" strokecolor="#808285" strokeweight=".5pt"/>
            <v:shape id="_x0000_s1046"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45" type="#_x0000_t202" style="position:absolute;left:11087;top:802;width:324;height:355" filled="f" stroked="f">
              <v:textbox inset="0,0,0,0">
                <w:txbxContent>
                  <w:p w:rsidR="00C77EBB" w:rsidRDefault="00F51053">
                    <w:pPr>
                      <w:spacing w:line="334" w:lineRule="exact"/>
                      <w:rPr>
                        <w:b/>
                        <w:sz w:val="26"/>
                      </w:rPr>
                    </w:pPr>
                    <w:r>
                      <w:rPr>
                        <w:b/>
                        <w:color w:val="4D4D4F"/>
                        <w:sz w:val="26"/>
                      </w:rPr>
                      <w:t>17</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2727"/>
        <w:gridCol w:w="6665"/>
      </w:tblGrid>
      <w:tr w:rsidR="00C77EBB">
        <w:trPr>
          <w:trHeight w:val="392"/>
        </w:trPr>
        <w:tc>
          <w:tcPr>
            <w:tcW w:w="2727"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6665" w:type="dxa"/>
            <w:shd w:val="clear" w:color="auto" w:fill="0E5D61"/>
          </w:tcPr>
          <w:p w:rsidR="00C77EBB" w:rsidRDefault="00F51053">
            <w:pPr>
              <w:pStyle w:val="TableParagraph"/>
              <w:spacing w:before="62"/>
              <w:ind w:left="41"/>
              <w:rPr>
                <w:rFonts w:ascii="Nunito Sans SemiBold"/>
                <w:b/>
                <w:sz w:val="18"/>
              </w:rPr>
            </w:pPr>
            <w:r>
              <w:rPr>
                <w:rFonts w:ascii="Nunito Sans SemiBold"/>
                <w:b/>
                <w:color w:val="FFFFFF"/>
                <w:sz w:val="18"/>
              </w:rPr>
              <w:t>Definition</w:t>
            </w:r>
          </w:p>
        </w:tc>
      </w:tr>
      <w:tr w:rsidR="00C77EBB">
        <w:trPr>
          <w:trHeight w:val="669"/>
        </w:trPr>
        <w:tc>
          <w:tcPr>
            <w:tcW w:w="2727" w:type="dxa"/>
            <w:tcBorders>
              <w:bottom w:val="single" w:sz="18" w:space="0" w:color="D7D6C7"/>
            </w:tcBorders>
          </w:tcPr>
          <w:p w:rsidR="00C77EBB" w:rsidRDefault="00F51053">
            <w:pPr>
              <w:pStyle w:val="TableParagraph"/>
              <w:spacing w:before="4"/>
              <w:rPr>
                <w:sz w:val="16"/>
              </w:rPr>
            </w:pPr>
            <w:r>
              <w:rPr>
                <w:color w:val="4D4D4F"/>
                <w:sz w:val="16"/>
              </w:rPr>
              <w:t>Ecological Vegetation Class (EVCs)</w:t>
            </w:r>
          </w:p>
        </w:tc>
        <w:tc>
          <w:tcPr>
            <w:tcW w:w="6665" w:type="dxa"/>
            <w:tcBorders>
              <w:bottom w:val="single" w:sz="18" w:space="0" w:color="D7D6C7"/>
            </w:tcBorders>
          </w:tcPr>
          <w:p w:rsidR="00C77EBB" w:rsidRDefault="00F51053">
            <w:pPr>
              <w:pStyle w:val="TableParagraph"/>
              <w:spacing w:before="18" w:line="220" w:lineRule="auto"/>
              <w:ind w:left="40" w:right="103"/>
              <w:rPr>
                <w:sz w:val="16"/>
              </w:rPr>
            </w:pPr>
            <w:r>
              <w:rPr>
                <w:color w:val="4D4D4F"/>
                <w:spacing w:val="2"/>
                <w:sz w:val="16"/>
              </w:rPr>
              <w:t xml:space="preserve">The </w:t>
            </w:r>
            <w:r>
              <w:rPr>
                <w:color w:val="4D4D4F"/>
                <w:sz w:val="16"/>
              </w:rPr>
              <w:t xml:space="preserve">standard unit for classifying vegetation </w:t>
            </w:r>
            <w:r>
              <w:rPr>
                <w:color w:val="4D4D4F"/>
                <w:spacing w:val="2"/>
                <w:sz w:val="16"/>
              </w:rPr>
              <w:t xml:space="preserve">types </w:t>
            </w:r>
            <w:r>
              <w:rPr>
                <w:color w:val="4D4D4F"/>
                <w:sz w:val="16"/>
              </w:rPr>
              <w:t xml:space="preserve">in </w:t>
            </w:r>
            <w:r>
              <w:rPr>
                <w:color w:val="4D4D4F"/>
                <w:spacing w:val="2"/>
                <w:sz w:val="16"/>
              </w:rPr>
              <w:t xml:space="preserve">Victoria. EVCs </w:t>
            </w:r>
            <w:r>
              <w:rPr>
                <w:color w:val="4D4D4F"/>
                <w:sz w:val="16"/>
              </w:rPr>
              <w:t xml:space="preserve">are </w:t>
            </w:r>
            <w:r>
              <w:rPr>
                <w:color w:val="4D4D4F"/>
                <w:spacing w:val="2"/>
                <w:sz w:val="16"/>
              </w:rPr>
              <w:t xml:space="preserve">described </w:t>
            </w:r>
            <w:r>
              <w:rPr>
                <w:color w:val="4D4D4F"/>
                <w:sz w:val="16"/>
              </w:rPr>
              <w:t xml:space="preserve">through   a combination of </w:t>
            </w:r>
            <w:r>
              <w:rPr>
                <w:color w:val="4D4D4F"/>
                <w:spacing w:val="2"/>
                <w:sz w:val="16"/>
              </w:rPr>
              <w:t xml:space="preserve">floristics, lifeforms </w:t>
            </w:r>
            <w:r>
              <w:rPr>
                <w:color w:val="4D4D4F"/>
                <w:sz w:val="16"/>
              </w:rPr>
              <w:t xml:space="preserve">and ecological </w:t>
            </w:r>
            <w:r>
              <w:rPr>
                <w:color w:val="4D4D4F"/>
                <w:spacing w:val="2"/>
                <w:sz w:val="16"/>
              </w:rPr>
              <w:t xml:space="preserve">characteristics, </w:t>
            </w:r>
            <w:r>
              <w:rPr>
                <w:color w:val="4D4D4F"/>
                <w:sz w:val="16"/>
              </w:rPr>
              <w:t xml:space="preserve">and through an inferred </w:t>
            </w:r>
            <w:r>
              <w:rPr>
                <w:color w:val="4D4D4F"/>
                <w:spacing w:val="2"/>
                <w:sz w:val="16"/>
              </w:rPr>
              <w:t xml:space="preserve">fidelity </w:t>
            </w:r>
            <w:r>
              <w:rPr>
                <w:color w:val="4D4D4F"/>
                <w:sz w:val="16"/>
              </w:rPr>
              <w:t>to environmental</w:t>
            </w:r>
            <w:r>
              <w:rPr>
                <w:color w:val="4D4D4F"/>
                <w:spacing w:val="-2"/>
                <w:sz w:val="16"/>
              </w:rPr>
              <w:t xml:space="preserve"> </w:t>
            </w:r>
            <w:r>
              <w:rPr>
                <w:color w:val="4D4D4F"/>
                <w:spacing w:val="2"/>
                <w:sz w:val="16"/>
              </w:rPr>
              <w:t>attributes</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Extreme weather</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392"/>
              <w:jc w:val="both"/>
              <w:rPr>
                <w:sz w:val="16"/>
              </w:rPr>
            </w:pPr>
            <w:r>
              <w:rPr>
                <w:color w:val="4D4D4F"/>
                <w:sz w:val="16"/>
              </w:rPr>
              <w:t>An event that is rare at a particular place and time of year. Definitions of rare vary, but an extreme weather event would n</w:t>
            </w:r>
            <w:r>
              <w:rPr>
                <w:color w:val="4D4D4F"/>
                <w:sz w:val="16"/>
              </w:rPr>
              <w:t>ormally be as rare as or rarer than the 10th or 90th percentile of a probability density function estimated from observations</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FGG Act</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i/>
                <w:color w:val="4D4D4F"/>
                <w:sz w:val="16"/>
              </w:rPr>
              <w:t xml:space="preserve">Flora and Fauna Guarantee Act 1988 </w:t>
            </w:r>
            <w:r>
              <w:rPr>
                <w:color w:val="4D4D4F"/>
                <w:sz w:val="16"/>
              </w:rPr>
              <w:t>(Vic)</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Fire weather</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
              <w:jc w:val="both"/>
              <w:rPr>
                <w:sz w:val="16"/>
              </w:rPr>
            </w:pPr>
            <w:r>
              <w:rPr>
                <w:color w:val="4D4D4F"/>
                <w:sz w:val="16"/>
              </w:rPr>
              <w:t>Weather conditions conducive to triggering and sustaining wildfires, usually based on a set of indicators and combinations of indicators including temperature, soil moisture, humidity, and wind. Fire weather does not include the presence or absence of fuel</w:t>
            </w:r>
            <w:r>
              <w:rPr>
                <w:color w:val="4D4D4F"/>
                <w:sz w:val="16"/>
              </w:rPr>
              <w:t xml:space="preserve"> load.</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Foraging</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Foraging is the act of searching for and gathering food, either for immediate consumption or for future storage</w:t>
            </w:r>
          </w:p>
        </w:tc>
      </w:tr>
      <w:tr w:rsidR="00C77EBB">
        <w:trPr>
          <w:trHeight w:val="743"/>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Frequency [f]</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Frequency is measured in Hertz (Hz).</w:t>
            </w:r>
          </w:p>
          <w:p w:rsidR="00C77EBB" w:rsidRDefault="00F51053">
            <w:pPr>
              <w:pStyle w:val="TableParagraph"/>
              <w:spacing w:before="53" w:line="220" w:lineRule="auto"/>
              <w:ind w:left="40"/>
              <w:rPr>
                <w:sz w:val="16"/>
              </w:rPr>
            </w:pPr>
            <w:r>
              <w:rPr>
                <w:color w:val="4D4D4F"/>
                <w:sz w:val="16"/>
              </w:rPr>
              <w:t>The frequency corresponds to the pitch of the sound: a high frequency to a high-pitched sound and a low frequency to a low-pitched sound.</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FSRU</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An FSRU is a vessel that stores and regasifies liquified natural gas (LNG) for distribution</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Gaining stream</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A stream that receives groundwater, which adds to its overall flow.</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Greenhouse gas</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Any of the atmospheric gases that contribute to the greenhouse effect by absorbing infrared radiation produced by solar warming of the Earth’s surface</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Groun</w:t>
            </w:r>
            <w:r>
              <w:rPr>
                <w:color w:val="4D4D4F"/>
                <w:sz w:val="16"/>
              </w:rPr>
              <w:t>d-truthing</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Gathering information by direct field observation.</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Groundwater dependent ecosystem</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A terrestrial or aquatic ecosystem that requires access to groundwater to meet all or some of their requirements.</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Groundwater users</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Groundwater dependent ecosystems and users of existing registered bores.</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Guideline Value</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A guideline value as a measurable quantity (threshold) or condition of an indicator for a specific community value below or, for some stressors, above which we consid</w:t>
            </w:r>
            <w:r>
              <w:rPr>
                <w:color w:val="4D4D4F"/>
                <w:sz w:val="16"/>
              </w:rPr>
              <w:t>er to be a low risk of unacceptable effects occurring</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Hazard</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Pr>
                <w:sz w:val="16"/>
              </w:rPr>
            </w:pPr>
            <w:r>
              <w:rPr>
                <w:color w:val="4D4D4F"/>
                <w:sz w:val="16"/>
              </w:rPr>
              <w:t>A source of potential harm that can cause injury/loss of human life and/or damage to the environment or property.</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Horizontal directional drilling</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381"/>
              <w:rPr>
                <w:sz w:val="16"/>
              </w:rPr>
            </w:pPr>
            <w:r>
              <w:rPr>
                <w:color w:val="4D4D4F"/>
                <w:sz w:val="16"/>
              </w:rPr>
              <w:t xml:space="preserve">A </w:t>
            </w:r>
            <w:r>
              <w:rPr>
                <w:color w:val="4D4D4F"/>
                <w:spacing w:val="2"/>
                <w:sz w:val="16"/>
              </w:rPr>
              <w:t xml:space="preserve">‘trenchless technology’ </w:t>
            </w:r>
            <w:r>
              <w:rPr>
                <w:color w:val="4D4D4F"/>
                <w:sz w:val="16"/>
              </w:rPr>
              <w:t>by which a pipeline tunnel is drilled at a shallow angle under a crossing (e.g. a w</w:t>
            </w:r>
            <w:r>
              <w:rPr>
                <w:color w:val="4D4D4F"/>
                <w:sz w:val="16"/>
              </w:rPr>
              <w:t>aterway, wetland, road or railway) through which the pipe is then threaded.</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Hot tapping</w:t>
            </w:r>
          </w:p>
        </w:tc>
        <w:tc>
          <w:tcPr>
            <w:tcW w:w="6665" w:type="dxa"/>
            <w:tcBorders>
              <w:top w:val="single" w:sz="18" w:space="0" w:color="D7D6C7"/>
              <w:bottom w:val="single" w:sz="18" w:space="0" w:color="D7D6C7"/>
            </w:tcBorders>
          </w:tcPr>
          <w:p w:rsidR="00C77EBB" w:rsidRDefault="00F51053">
            <w:pPr>
              <w:pStyle w:val="TableParagraph"/>
              <w:spacing w:line="209" w:lineRule="exact"/>
              <w:ind w:left="40"/>
              <w:rPr>
                <w:sz w:val="16"/>
              </w:rPr>
            </w:pPr>
            <w:r>
              <w:rPr>
                <w:color w:val="4D4D4F"/>
                <w:sz w:val="16"/>
              </w:rPr>
              <w:t>Hot tapping is a tie-in methodology for new connections to existing pipelines without</w:t>
            </w:r>
          </w:p>
          <w:p w:rsidR="00C77EBB" w:rsidRDefault="00F51053">
            <w:pPr>
              <w:pStyle w:val="TableParagraph"/>
              <w:spacing w:before="0" w:line="209" w:lineRule="exact"/>
              <w:ind w:left="40"/>
              <w:rPr>
                <w:sz w:val="16"/>
              </w:rPr>
            </w:pPr>
            <w:r>
              <w:rPr>
                <w:color w:val="4D4D4F"/>
                <w:sz w:val="16"/>
              </w:rPr>
              <w:t>taking them offline and is performed by specialist crews with specialised equipment.</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Hydrodynamic modelling</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Hydrodynamic modelling is the study of fluids in motion. Hydrodynamic movement generates forces that act on solid bodies immersed in fluid (e.g. an</w:t>
            </w:r>
            <w:r>
              <w:rPr>
                <w:color w:val="4D4D4F"/>
                <w:sz w:val="16"/>
              </w:rPr>
              <w:t xml:space="preserve"> FSRU), which in turn affects the behaviour of the fluid.</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Hydrostatic pressure testing</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Pr>
                <w:sz w:val="16"/>
              </w:rPr>
            </w:pPr>
            <w:r>
              <w:rPr>
                <w:color w:val="4D4D4F"/>
                <w:sz w:val="16"/>
              </w:rPr>
              <w:t>A pipeline testing process used to test welds and pipeline integrity in high pressure hydrocarbon pipelines. The process involves filling the newly constructed pipeline</w:t>
            </w:r>
            <w:r>
              <w:rPr>
                <w:color w:val="4D4D4F"/>
                <w:sz w:val="16"/>
              </w:rPr>
              <w:t xml:space="preserve"> with pressurised water or other medium, enabling the detection of leaks.</w:t>
            </w:r>
          </w:p>
        </w:tc>
      </w:tr>
      <w:tr w:rsidR="00C77EBB">
        <w:trPr>
          <w:trHeight w:val="2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Hydraulic conductivity</w:t>
            </w:r>
          </w:p>
        </w:tc>
        <w:tc>
          <w:tcPr>
            <w:tcW w:w="6665" w:type="dxa"/>
            <w:tcBorders>
              <w:top w:val="single" w:sz="18" w:space="0" w:color="D7D6C7"/>
              <w:bottom w:val="single" w:sz="18" w:space="0" w:color="D7D6C7"/>
            </w:tcBorders>
          </w:tcPr>
          <w:p w:rsidR="00C77EBB" w:rsidRDefault="00F51053">
            <w:pPr>
              <w:pStyle w:val="TableParagraph"/>
              <w:ind w:left="40"/>
              <w:rPr>
                <w:sz w:val="16"/>
              </w:rPr>
            </w:pPr>
            <w:r>
              <w:rPr>
                <w:color w:val="4D4D4F"/>
                <w:sz w:val="16"/>
              </w:rPr>
              <w:t>The ease with which a fluid (usually water) can move through pore spaces or fractures.</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Impact</w:t>
            </w:r>
          </w:p>
        </w:tc>
        <w:tc>
          <w:tcPr>
            <w:tcW w:w="6665" w:type="dxa"/>
            <w:tcBorders>
              <w:top w:val="single" w:sz="18" w:space="0" w:color="D7D6C7"/>
              <w:bottom w:val="single" w:sz="18" w:space="0" w:color="D7D6C7"/>
            </w:tcBorders>
          </w:tcPr>
          <w:p w:rsidR="00C77EBB" w:rsidRDefault="00F51053">
            <w:pPr>
              <w:pStyle w:val="TableParagraph"/>
              <w:spacing w:line="209" w:lineRule="exact"/>
              <w:ind w:left="40"/>
              <w:rPr>
                <w:sz w:val="16"/>
              </w:rPr>
            </w:pPr>
            <w:r>
              <w:rPr>
                <w:color w:val="4D4D4F"/>
                <w:sz w:val="16"/>
              </w:rPr>
              <w:t>Influence or effect exerted by a project or other activity on the natural, built and</w:t>
            </w:r>
          </w:p>
          <w:p w:rsidR="00C77EBB" w:rsidRDefault="00F51053">
            <w:pPr>
              <w:pStyle w:val="TableParagraph"/>
              <w:spacing w:before="0" w:line="209" w:lineRule="exact"/>
              <w:ind w:left="40"/>
              <w:rPr>
                <w:sz w:val="16"/>
              </w:rPr>
            </w:pPr>
            <w:r>
              <w:rPr>
                <w:color w:val="4D4D4F"/>
                <w:sz w:val="16"/>
              </w:rPr>
              <w:t>community environment.</w:t>
            </w:r>
          </w:p>
        </w:tc>
      </w:tr>
      <w:tr w:rsidR="00C77EBB">
        <w:trPr>
          <w:trHeight w:val="6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Impact</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459"/>
              <w:rPr>
                <w:sz w:val="16"/>
              </w:rPr>
            </w:pPr>
            <w:r>
              <w:rPr>
                <w:color w:val="4D4D4F"/>
                <w:sz w:val="16"/>
              </w:rPr>
              <w:t>A threat that may arise as a result of either the weather or climate change both in the short- and long-term and represents the fact that the issue is one that is constantly evolving.</w:t>
            </w:r>
          </w:p>
        </w:tc>
      </w:tr>
      <w:tr w:rsidR="00C77EBB">
        <w:trPr>
          <w:trHeight w:val="486"/>
        </w:trPr>
        <w:tc>
          <w:tcPr>
            <w:tcW w:w="2727" w:type="dxa"/>
            <w:tcBorders>
              <w:top w:val="single" w:sz="18" w:space="0" w:color="D7D6C7"/>
              <w:bottom w:val="single" w:sz="18" w:space="0" w:color="D7D6C7"/>
            </w:tcBorders>
          </w:tcPr>
          <w:p w:rsidR="00C77EBB" w:rsidRDefault="00F51053">
            <w:pPr>
              <w:pStyle w:val="TableParagraph"/>
              <w:rPr>
                <w:sz w:val="16"/>
              </w:rPr>
            </w:pPr>
            <w:r>
              <w:rPr>
                <w:color w:val="4D4D4F"/>
                <w:sz w:val="16"/>
              </w:rPr>
              <w:t>Infauna</w:t>
            </w:r>
          </w:p>
        </w:tc>
        <w:tc>
          <w:tcPr>
            <w:tcW w:w="6665" w:type="dxa"/>
            <w:tcBorders>
              <w:top w:val="single" w:sz="18" w:space="0" w:color="D7D6C7"/>
              <w:bottom w:val="single" w:sz="18" w:space="0" w:color="D7D6C7"/>
            </w:tcBorders>
          </w:tcPr>
          <w:p w:rsidR="00C77EBB" w:rsidRDefault="00F51053">
            <w:pPr>
              <w:pStyle w:val="TableParagraph"/>
              <w:spacing w:before="35" w:line="220" w:lineRule="auto"/>
              <w:ind w:left="40" w:right="126"/>
              <w:rPr>
                <w:sz w:val="16"/>
              </w:rPr>
            </w:pPr>
            <w:r>
              <w:rPr>
                <w:color w:val="4D4D4F"/>
                <w:sz w:val="16"/>
              </w:rPr>
              <w:t>Infauna are animals that live within seabed sediments, includin</w:t>
            </w:r>
            <w:r>
              <w:rPr>
                <w:color w:val="4D4D4F"/>
                <w:sz w:val="16"/>
              </w:rPr>
              <w:t>g burrowing worms and clams.</w:t>
            </w:r>
          </w:p>
        </w:tc>
      </w:tr>
    </w:tbl>
    <w:p w:rsidR="00C77EBB" w:rsidRDefault="00C77EBB">
      <w:pPr>
        <w:spacing w:line="220" w:lineRule="auto"/>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43" style="position:absolute;margin-left:0;margin-top:124.5pt;width:14.15pt;height:39.7pt;z-index:251702272;mso-position-horizontal-relative:page;mso-position-vertical-relative:page" fillcolor="#0e5d61" stroked="f">
            <w10:wrap anchorx="page" anchory="page"/>
          </v:rect>
        </w:pict>
      </w:r>
      <w:r>
        <w:pict>
          <v:group id="_x0000_s1038" style="position:absolute;margin-left:0;margin-top:37.4pt;width:532.95pt;height:25.2pt;z-index:-254633984;mso-position-horizontal-relative:page;mso-position-vertical-relative:page" coordorigin=",748" coordsize="10659,504">
            <v:line id="_x0000_s1042" style="position:absolute" from="1290,748" to="1290,1247" strokecolor="#0e5d61" strokeweight="1.5mm"/>
            <v:line id="_x0000_s1041" style="position:absolute" from="0,1247" to="10658,1247" strokecolor="#808285" strokeweight=".5pt"/>
            <v:shape id="_x0000_s1040" type="#_x0000_t202" style="position:absolute;left:510;top:802;width:334;height:355" filled="f" stroked="f">
              <v:textbox inset="0,0,0,0">
                <w:txbxContent>
                  <w:p w:rsidR="00C77EBB" w:rsidRDefault="00F51053">
                    <w:pPr>
                      <w:spacing w:line="334" w:lineRule="exact"/>
                      <w:rPr>
                        <w:b/>
                        <w:sz w:val="26"/>
                      </w:rPr>
                    </w:pPr>
                    <w:r>
                      <w:rPr>
                        <w:b/>
                        <w:color w:val="4D4D4F"/>
                        <w:sz w:val="26"/>
                      </w:rPr>
                      <w:t>18</w:t>
                    </w:r>
                  </w:p>
                </w:txbxContent>
              </v:textbox>
            </v:shape>
            <v:shape id="_x0000_s1039"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2698"/>
        <w:gridCol w:w="6407"/>
        <w:gridCol w:w="286"/>
      </w:tblGrid>
      <w:tr w:rsidR="00C77EBB">
        <w:trPr>
          <w:trHeight w:val="392"/>
        </w:trPr>
        <w:tc>
          <w:tcPr>
            <w:tcW w:w="2698"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6407" w:type="dxa"/>
            <w:shd w:val="clear" w:color="auto" w:fill="0E5D61"/>
          </w:tcPr>
          <w:p w:rsidR="00C77EBB" w:rsidRDefault="00F51053">
            <w:pPr>
              <w:pStyle w:val="TableParagraph"/>
              <w:spacing w:before="62"/>
              <w:ind w:left="70"/>
              <w:rPr>
                <w:rFonts w:ascii="Nunito Sans SemiBold"/>
                <w:b/>
                <w:sz w:val="18"/>
              </w:rPr>
            </w:pPr>
            <w:r>
              <w:rPr>
                <w:rFonts w:ascii="Nunito Sans SemiBold"/>
                <w:b/>
                <w:color w:val="FFFFFF"/>
                <w:sz w:val="18"/>
              </w:rPr>
              <w:t>Definition</w:t>
            </w:r>
          </w:p>
        </w:tc>
        <w:tc>
          <w:tcPr>
            <w:tcW w:w="286" w:type="dxa"/>
            <w:shd w:val="clear" w:color="auto" w:fill="0E5D61"/>
          </w:tcPr>
          <w:p w:rsidR="00C77EBB" w:rsidRDefault="00C77EBB">
            <w:pPr>
              <w:pStyle w:val="TableParagraph"/>
              <w:spacing w:before="0"/>
              <w:ind w:left="0"/>
              <w:rPr>
                <w:rFonts w:ascii="Times New Roman"/>
                <w:sz w:val="14"/>
              </w:rPr>
            </w:pPr>
          </w:p>
        </w:tc>
      </w:tr>
      <w:tr w:rsidR="00C77EBB">
        <w:trPr>
          <w:trHeight w:val="469"/>
        </w:trPr>
        <w:tc>
          <w:tcPr>
            <w:tcW w:w="2698" w:type="dxa"/>
            <w:tcBorders>
              <w:bottom w:val="single" w:sz="18" w:space="0" w:color="D7D6C7"/>
            </w:tcBorders>
          </w:tcPr>
          <w:p w:rsidR="00C77EBB" w:rsidRDefault="00F51053">
            <w:pPr>
              <w:pStyle w:val="TableParagraph"/>
              <w:spacing w:before="4"/>
              <w:rPr>
                <w:sz w:val="16"/>
              </w:rPr>
            </w:pPr>
            <w:r>
              <w:rPr>
                <w:color w:val="4D4D4F"/>
                <w:sz w:val="16"/>
              </w:rPr>
              <w:t>Kilometre point</w:t>
            </w:r>
          </w:p>
        </w:tc>
        <w:tc>
          <w:tcPr>
            <w:tcW w:w="6407" w:type="dxa"/>
            <w:tcBorders>
              <w:bottom w:val="single" w:sz="18" w:space="0" w:color="D7D6C7"/>
            </w:tcBorders>
          </w:tcPr>
          <w:p w:rsidR="00C77EBB" w:rsidRDefault="00F51053">
            <w:pPr>
              <w:pStyle w:val="TableParagraph"/>
              <w:spacing w:before="18" w:line="220" w:lineRule="auto"/>
              <w:ind w:left="69"/>
              <w:rPr>
                <w:sz w:val="16"/>
              </w:rPr>
            </w:pPr>
            <w:r>
              <w:rPr>
                <w:color w:val="4D4D4F"/>
                <w:sz w:val="16"/>
              </w:rPr>
              <w:t>Kilometric reference points along the pipeline route, starting at KP0 at Crib Point and increasing along the length of the pipeline to the tie-in point at Pakenham East.</w:t>
            </w:r>
          </w:p>
        </w:tc>
        <w:tc>
          <w:tcPr>
            <w:tcW w:w="286" w:type="dxa"/>
            <w:tcBorders>
              <w:bottom w:val="single" w:sz="18" w:space="0" w:color="D7D6C7"/>
            </w:tcBorders>
          </w:tcPr>
          <w:p w:rsidR="00C77EBB" w:rsidRDefault="00C77EBB">
            <w:pPr>
              <w:pStyle w:val="TableParagraph"/>
              <w:spacing w:before="0"/>
              <w:ind w:left="0"/>
              <w:rPr>
                <w:rFonts w:ascii="Times New Roman"/>
                <w:sz w:val="14"/>
              </w:rPr>
            </w:pPr>
          </w:p>
        </w:tc>
      </w:tr>
      <w:tr w:rsidR="00C77EBB">
        <w:trPr>
          <w:trHeight w:val="686"/>
        </w:trPr>
        <w:tc>
          <w:tcPr>
            <w:tcW w:w="2698" w:type="dxa"/>
            <w:tcBorders>
              <w:top w:val="single" w:sz="18" w:space="0" w:color="D7D6C7"/>
              <w:bottom w:val="single" w:sz="18" w:space="0" w:color="D7D6C7"/>
            </w:tcBorders>
          </w:tcPr>
          <w:p w:rsidR="00C77EBB" w:rsidRDefault="00F51053">
            <w:pPr>
              <w:pStyle w:val="TableParagraph"/>
              <w:spacing w:before="25"/>
              <w:rPr>
                <w:sz w:val="9"/>
              </w:rPr>
            </w:pPr>
            <w:r>
              <w:rPr>
                <w:color w:val="4D4D4F"/>
                <w:position w:val="5"/>
                <w:sz w:val="16"/>
              </w:rPr>
              <w:t>L</w:t>
            </w:r>
            <w:r>
              <w:rPr>
                <w:color w:val="4D4D4F"/>
                <w:sz w:val="9"/>
              </w:rPr>
              <w:t>eq</w:t>
            </w:r>
          </w:p>
        </w:tc>
        <w:tc>
          <w:tcPr>
            <w:tcW w:w="6407" w:type="dxa"/>
            <w:tcBorders>
              <w:top w:val="single" w:sz="18" w:space="0" w:color="D7D6C7"/>
              <w:bottom w:val="single" w:sz="18" w:space="0" w:color="D7D6C7"/>
            </w:tcBorders>
          </w:tcPr>
          <w:p w:rsidR="00C77EBB" w:rsidRDefault="00F51053">
            <w:pPr>
              <w:pStyle w:val="TableParagraph"/>
              <w:spacing w:before="36" w:line="200" w:lineRule="exact"/>
              <w:ind w:left="69"/>
              <w:rPr>
                <w:sz w:val="9"/>
              </w:rPr>
            </w:pPr>
            <w:r>
              <w:rPr>
                <w:color w:val="4D4D4F"/>
                <w:sz w:val="16"/>
              </w:rPr>
              <w:t xml:space="preserve">Equivalent (energy averaged) noise level measured over a time </w:t>
            </w:r>
            <w:r>
              <w:rPr>
                <w:color w:val="4D4D4F"/>
                <w:spacing w:val="2"/>
                <w:sz w:val="16"/>
              </w:rPr>
              <w:t xml:space="preserve">period. </w:t>
            </w:r>
            <w:r>
              <w:rPr>
                <w:color w:val="4D4D4F"/>
                <w:sz w:val="16"/>
              </w:rPr>
              <w:t>This noise</w:t>
            </w:r>
            <w:r>
              <w:rPr>
                <w:color w:val="4D4D4F"/>
                <w:sz w:val="16"/>
              </w:rPr>
              <w:t xml:space="preserve"> descriptor is commonly used in environmental noise policies and assessments. </w:t>
            </w:r>
            <w:r>
              <w:rPr>
                <w:color w:val="4D4D4F"/>
                <w:spacing w:val="2"/>
                <w:sz w:val="16"/>
              </w:rPr>
              <w:t xml:space="preserve">The </w:t>
            </w:r>
            <w:r>
              <w:rPr>
                <w:color w:val="4D4D4F"/>
                <w:sz w:val="16"/>
              </w:rPr>
              <w:t xml:space="preserve">time </w:t>
            </w:r>
            <w:r>
              <w:rPr>
                <w:color w:val="4D4D4F"/>
                <w:spacing w:val="2"/>
                <w:sz w:val="16"/>
              </w:rPr>
              <w:t>period</w:t>
            </w:r>
            <w:r>
              <w:rPr>
                <w:color w:val="4D4D4F"/>
                <w:spacing w:val="6"/>
                <w:sz w:val="16"/>
              </w:rPr>
              <w:t xml:space="preserve"> </w:t>
            </w:r>
            <w:r>
              <w:rPr>
                <w:color w:val="4D4D4F"/>
                <w:sz w:val="16"/>
              </w:rPr>
              <w:t>the</w:t>
            </w:r>
            <w:r>
              <w:rPr>
                <w:color w:val="4D4D4F"/>
                <w:spacing w:val="7"/>
                <w:sz w:val="16"/>
              </w:rPr>
              <w:t xml:space="preserve"> </w:t>
            </w:r>
            <w:r>
              <w:rPr>
                <w:color w:val="4D4D4F"/>
                <w:sz w:val="16"/>
              </w:rPr>
              <w:t>measurement</w:t>
            </w:r>
            <w:r>
              <w:rPr>
                <w:color w:val="4D4D4F"/>
                <w:spacing w:val="7"/>
                <w:sz w:val="16"/>
              </w:rPr>
              <w:t xml:space="preserve"> </w:t>
            </w:r>
            <w:r>
              <w:rPr>
                <w:color w:val="4D4D4F"/>
                <w:sz w:val="16"/>
              </w:rPr>
              <w:t>is</w:t>
            </w:r>
            <w:r>
              <w:rPr>
                <w:color w:val="4D4D4F"/>
                <w:spacing w:val="6"/>
                <w:sz w:val="16"/>
              </w:rPr>
              <w:t xml:space="preserve"> </w:t>
            </w:r>
            <w:r>
              <w:rPr>
                <w:color w:val="4D4D4F"/>
                <w:sz w:val="16"/>
              </w:rPr>
              <w:t>averaged</w:t>
            </w:r>
            <w:r>
              <w:rPr>
                <w:color w:val="4D4D4F"/>
                <w:spacing w:val="7"/>
                <w:sz w:val="16"/>
              </w:rPr>
              <w:t xml:space="preserve"> </w:t>
            </w:r>
            <w:r>
              <w:rPr>
                <w:color w:val="4D4D4F"/>
                <w:sz w:val="16"/>
              </w:rPr>
              <w:t>over</w:t>
            </w:r>
            <w:r>
              <w:rPr>
                <w:color w:val="4D4D4F"/>
                <w:spacing w:val="7"/>
                <w:sz w:val="16"/>
              </w:rPr>
              <w:t xml:space="preserve"> </w:t>
            </w:r>
            <w:r>
              <w:rPr>
                <w:color w:val="4D4D4F"/>
                <w:sz w:val="16"/>
              </w:rPr>
              <w:t>may</w:t>
            </w:r>
            <w:r>
              <w:rPr>
                <w:color w:val="4D4D4F"/>
                <w:spacing w:val="7"/>
                <w:sz w:val="16"/>
              </w:rPr>
              <w:t xml:space="preserve"> </w:t>
            </w:r>
            <w:r>
              <w:rPr>
                <w:color w:val="4D4D4F"/>
                <w:sz w:val="16"/>
              </w:rPr>
              <w:t>be</w:t>
            </w:r>
            <w:r>
              <w:rPr>
                <w:color w:val="4D4D4F"/>
                <w:spacing w:val="6"/>
                <w:sz w:val="16"/>
              </w:rPr>
              <w:t xml:space="preserve"> </w:t>
            </w:r>
            <w:r>
              <w:rPr>
                <w:color w:val="4D4D4F"/>
                <w:sz w:val="16"/>
              </w:rPr>
              <w:t>included</w:t>
            </w:r>
            <w:r>
              <w:rPr>
                <w:color w:val="4D4D4F"/>
                <w:spacing w:val="7"/>
                <w:sz w:val="16"/>
              </w:rPr>
              <w:t xml:space="preserve"> </w:t>
            </w:r>
            <w:r>
              <w:rPr>
                <w:color w:val="4D4D4F"/>
                <w:sz w:val="16"/>
              </w:rPr>
              <w:t>in</w:t>
            </w:r>
            <w:r>
              <w:rPr>
                <w:color w:val="4D4D4F"/>
                <w:spacing w:val="7"/>
                <w:sz w:val="16"/>
              </w:rPr>
              <w:t xml:space="preserve"> </w:t>
            </w:r>
            <w:r>
              <w:rPr>
                <w:color w:val="4D4D4F"/>
                <w:sz w:val="16"/>
              </w:rPr>
              <w:t>the</w:t>
            </w:r>
            <w:r>
              <w:rPr>
                <w:color w:val="4D4D4F"/>
                <w:spacing w:val="7"/>
                <w:sz w:val="16"/>
              </w:rPr>
              <w:t xml:space="preserve"> </w:t>
            </w:r>
            <w:r>
              <w:rPr>
                <w:color w:val="4D4D4F"/>
                <w:sz w:val="16"/>
              </w:rPr>
              <w:t>subscript,</w:t>
            </w:r>
            <w:r>
              <w:rPr>
                <w:color w:val="4D4D4F"/>
                <w:spacing w:val="6"/>
                <w:sz w:val="16"/>
              </w:rPr>
              <w:t xml:space="preserve"> </w:t>
            </w:r>
            <w:r>
              <w:rPr>
                <w:color w:val="4D4D4F"/>
                <w:sz w:val="16"/>
              </w:rPr>
              <w:t>i.e.</w:t>
            </w:r>
            <w:r>
              <w:rPr>
                <w:color w:val="4D4D4F"/>
                <w:spacing w:val="7"/>
                <w:sz w:val="16"/>
              </w:rPr>
              <w:t xml:space="preserve"> </w:t>
            </w:r>
            <w:r>
              <w:rPr>
                <w:color w:val="4D4D4F"/>
                <w:spacing w:val="3"/>
                <w:sz w:val="16"/>
              </w:rPr>
              <w:t>L</w:t>
            </w:r>
            <w:r>
              <w:rPr>
                <w:color w:val="4D4D4F"/>
                <w:spacing w:val="3"/>
                <w:position w:val="-4"/>
                <w:sz w:val="9"/>
              </w:rPr>
              <w:t>Aeq,</w:t>
            </w:r>
            <w:r>
              <w:rPr>
                <w:color w:val="4D4D4F"/>
                <w:spacing w:val="4"/>
                <w:position w:val="-4"/>
                <w:sz w:val="9"/>
              </w:rPr>
              <w:t xml:space="preserve"> </w:t>
            </w:r>
            <w:r>
              <w:rPr>
                <w:color w:val="4D4D4F"/>
                <w:position w:val="-4"/>
                <w:sz w:val="9"/>
              </w:rPr>
              <w:t>30min</w:t>
            </w:r>
          </w:p>
        </w:tc>
        <w:tc>
          <w:tcPr>
            <w:tcW w:w="286" w:type="dxa"/>
            <w:tcBorders>
              <w:top w:val="single" w:sz="18" w:space="0" w:color="D7D6C7"/>
              <w:bottom w:val="single" w:sz="18" w:space="0" w:color="D7D6C7"/>
            </w:tcBorders>
          </w:tcPr>
          <w:p w:rsidR="00C77EBB" w:rsidRDefault="00C77EBB">
            <w:pPr>
              <w:pStyle w:val="TableParagraph"/>
              <w:spacing w:before="12"/>
              <w:ind w:left="0"/>
              <w:rPr>
                <w:b/>
                <w:sz w:val="30"/>
              </w:rPr>
            </w:pPr>
          </w:p>
          <w:p w:rsidR="00C77EBB" w:rsidRDefault="00F51053">
            <w:pPr>
              <w:pStyle w:val="TableParagraph"/>
              <w:spacing w:before="0"/>
              <w:ind w:left="-2"/>
              <w:rPr>
                <w:sz w:val="16"/>
              </w:rPr>
            </w:pPr>
            <w:r>
              <w:rPr>
                <w:color w:val="4D4D4F"/>
                <w:sz w:val="16"/>
              </w:rPr>
              <w:t>.</w:t>
            </w: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spacing w:before="25"/>
              <w:rPr>
                <w:sz w:val="9"/>
              </w:rPr>
            </w:pPr>
            <w:r>
              <w:rPr>
                <w:color w:val="4D4D4F"/>
                <w:position w:val="5"/>
                <w:sz w:val="16"/>
              </w:rPr>
              <w:t>L</w:t>
            </w:r>
            <w:r>
              <w:rPr>
                <w:color w:val="4D4D4F"/>
                <w:sz w:val="9"/>
              </w:rPr>
              <w:t>90</w:t>
            </w:r>
          </w:p>
        </w:tc>
        <w:tc>
          <w:tcPr>
            <w:tcW w:w="6407" w:type="dxa"/>
            <w:tcBorders>
              <w:top w:val="single" w:sz="18" w:space="0" w:color="D7D6C7"/>
              <w:bottom w:val="single" w:sz="18" w:space="0" w:color="D7D6C7"/>
            </w:tcBorders>
          </w:tcPr>
          <w:p w:rsidR="00C77EBB" w:rsidRDefault="00F51053">
            <w:pPr>
              <w:pStyle w:val="TableParagraph"/>
              <w:spacing w:before="35" w:line="220" w:lineRule="auto"/>
              <w:ind w:left="69"/>
              <w:rPr>
                <w:sz w:val="16"/>
              </w:rPr>
            </w:pPr>
            <w:r>
              <w:rPr>
                <w:color w:val="4D4D4F"/>
                <w:sz w:val="16"/>
              </w:rPr>
              <w:t>The noise level exceeded 90% of the measurement period. This descriptor is used to represent the background noise level.</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spacing w:before="35" w:line="220" w:lineRule="auto"/>
              <w:rPr>
                <w:sz w:val="16"/>
              </w:rPr>
            </w:pPr>
            <w:r>
              <w:rPr>
                <w:color w:val="4D4D4F"/>
                <w:sz w:val="16"/>
              </w:rPr>
              <w:t>Land Subject to Inundation Overlay (LSIO)</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Identification under state planning schemes of land in a flood storage or flood fringe area affected by the 1 in 100-year flood.</w:t>
            </w:r>
          </w:p>
        </w:tc>
      </w:tr>
      <w:tr w:rsidR="00C77EBB">
        <w:trPr>
          <w:trHeight w:val="6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Landholder</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102"/>
              <w:jc w:val="both"/>
              <w:rPr>
                <w:sz w:val="16"/>
              </w:rPr>
            </w:pPr>
            <w:r>
              <w:rPr>
                <w:color w:val="4D4D4F"/>
                <w:sz w:val="16"/>
              </w:rPr>
              <w:t>A general term used to refer to the legal owner or manager of a parcel of land. It may be a private landholder, Gov</w:t>
            </w:r>
            <w:r>
              <w:rPr>
                <w:color w:val="4D4D4F"/>
                <w:sz w:val="16"/>
              </w:rPr>
              <w:t>ernment or private utility, or a Government Agency responsible for management of a particular parcel of Crown land (e.g. National Parks or Forestry areas).</w:t>
            </w: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Landscape</w:t>
            </w:r>
          </w:p>
        </w:tc>
        <w:tc>
          <w:tcPr>
            <w:tcW w:w="6407" w:type="dxa"/>
            <w:tcBorders>
              <w:top w:val="single" w:sz="18" w:space="0" w:color="D7D6C7"/>
              <w:bottom w:val="single" w:sz="18" w:space="0" w:color="D7D6C7"/>
            </w:tcBorders>
          </w:tcPr>
          <w:p w:rsidR="00C77EBB" w:rsidRDefault="00F51053">
            <w:pPr>
              <w:pStyle w:val="TableParagraph"/>
              <w:spacing w:before="35" w:line="220" w:lineRule="auto"/>
              <w:ind w:left="69"/>
              <w:rPr>
                <w:sz w:val="16"/>
              </w:rPr>
            </w:pPr>
            <w:r>
              <w:rPr>
                <w:color w:val="4D4D4F"/>
                <w:sz w:val="16"/>
              </w:rPr>
              <w:t>An area, as perceived by people. The character of which is the result of the action and i</w:t>
            </w:r>
            <w:r>
              <w:rPr>
                <w:color w:val="4D4D4F"/>
                <w:sz w:val="16"/>
              </w:rPr>
              <w:t>nteraction of natural and/or human factors.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686"/>
        </w:trPr>
        <w:tc>
          <w:tcPr>
            <w:tcW w:w="2698" w:type="dxa"/>
            <w:tcBorders>
              <w:top w:val="single" w:sz="18" w:space="0" w:color="D7D6C7"/>
              <w:bottom w:val="single" w:sz="18" w:space="0" w:color="D7D6C7"/>
            </w:tcBorders>
          </w:tcPr>
          <w:p w:rsidR="00C77EBB" w:rsidRDefault="00F51053">
            <w:pPr>
              <w:pStyle w:val="TableParagraph"/>
              <w:spacing w:before="35" w:line="220" w:lineRule="auto"/>
              <w:rPr>
                <w:sz w:val="16"/>
              </w:rPr>
            </w:pPr>
            <w:r>
              <w:rPr>
                <w:color w:val="4D4D4F"/>
                <w:sz w:val="16"/>
              </w:rPr>
              <w:t>Landscape and Visual Impact Assessment (LVIA)</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A tool used to identify and assess the likely significance of the effects of change resulting from development both on the landscape as an environmental resource in its own right and on people’s views and visual amenity.</w:t>
            </w:r>
          </w:p>
        </w:tc>
      </w:tr>
      <w:tr w:rsidR="00C77EBB">
        <w:trPr>
          <w:trHeight w:val="10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Landscape character areas</w:t>
            </w:r>
          </w:p>
        </w:tc>
        <w:tc>
          <w:tcPr>
            <w:tcW w:w="6407" w:type="dxa"/>
            <w:tcBorders>
              <w:top w:val="single" w:sz="18" w:space="0" w:color="D7D6C7"/>
              <w:bottom w:val="single" w:sz="18" w:space="0" w:color="D7D6C7"/>
            </w:tcBorders>
          </w:tcPr>
          <w:p w:rsidR="00C77EBB" w:rsidRDefault="00F51053">
            <w:pPr>
              <w:pStyle w:val="TableParagraph"/>
              <w:spacing w:before="35" w:line="220" w:lineRule="auto"/>
              <w:ind w:left="69" w:right="117"/>
              <w:rPr>
                <w:sz w:val="16"/>
              </w:rPr>
            </w:pPr>
            <w:r>
              <w:rPr>
                <w:color w:val="4D4D4F"/>
                <w:sz w:val="16"/>
              </w:rPr>
              <w:t xml:space="preserve">These are </w:t>
            </w:r>
            <w:r>
              <w:rPr>
                <w:color w:val="4D4D4F"/>
                <w:spacing w:val="2"/>
                <w:sz w:val="16"/>
              </w:rPr>
              <w:t xml:space="preserve">distinct </w:t>
            </w:r>
            <w:r>
              <w:rPr>
                <w:color w:val="4D4D4F"/>
                <w:sz w:val="16"/>
              </w:rPr>
              <w:t xml:space="preserve">geographical units of the landscape that are relatively homogenous in character. They are generic in nature in that they may occur in </w:t>
            </w:r>
            <w:r>
              <w:rPr>
                <w:color w:val="4D4D4F"/>
                <w:spacing w:val="2"/>
                <w:sz w:val="16"/>
              </w:rPr>
              <w:t xml:space="preserve">different </w:t>
            </w:r>
            <w:r>
              <w:rPr>
                <w:color w:val="4D4D4F"/>
                <w:sz w:val="16"/>
              </w:rPr>
              <w:t xml:space="preserve">areas, but wherever they occur they share broadly similar combinations of geology, topography, drainage </w:t>
            </w:r>
            <w:r>
              <w:rPr>
                <w:color w:val="4D4D4F"/>
                <w:spacing w:val="2"/>
                <w:sz w:val="16"/>
              </w:rPr>
              <w:t xml:space="preserve">patterns, </w:t>
            </w:r>
            <w:r>
              <w:rPr>
                <w:color w:val="4D4D4F"/>
                <w:sz w:val="16"/>
              </w:rPr>
              <w:t xml:space="preserve">vegetation and historical land use and </w:t>
            </w:r>
            <w:r>
              <w:rPr>
                <w:color w:val="4D4D4F"/>
                <w:spacing w:val="2"/>
                <w:sz w:val="16"/>
              </w:rPr>
              <w:t xml:space="preserve">settlement pattern, </w:t>
            </w:r>
            <w:r>
              <w:rPr>
                <w:color w:val="4D4D4F"/>
                <w:sz w:val="16"/>
              </w:rPr>
              <w:t xml:space="preserve">and perceptual and </w:t>
            </w:r>
            <w:r>
              <w:rPr>
                <w:color w:val="4D4D4F"/>
                <w:spacing w:val="2"/>
                <w:sz w:val="16"/>
              </w:rPr>
              <w:t>aesthetic</w:t>
            </w:r>
            <w:r>
              <w:rPr>
                <w:color w:val="4D4D4F"/>
                <w:spacing w:val="-1"/>
                <w:sz w:val="16"/>
              </w:rPr>
              <w:t xml:space="preserve"> </w:t>
            </w:r>
            <w:r>
              <w:rPr>
                <w:color w:val="4D4D4F"/>
                <w:spacing w:val="2"/>
                <w:sz w:val="16"/>
              </w:rPr>
              <w:t>attributes.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Level of Service (LOS)</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This is an alpha-</w:t>
            </w:r>
            <w:r>
              <w:rPr>
                <w:color w:val="4D4D4F"/>
                <w:sz w:val="16"/>
              </w:rPr>
              <w:t>numeric rating of the overall performance of an intersection, ranging from LOS A (very good) to LOS F (very poor).</w:t>
            </w: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Local Government Areas</w:t>
            </w:r>
          </w:p>
        </w:tc>
        <w:tc>
          <w:tcPr>
            <w:tcW w:w="6407" w:type="dxa"/>
            <w:tcBorders>
              <w:top w:val="single" w:sz="18" w:space="0" w:color="D7D6C7"/>
              <w:bottom w:val="single" w:sz="18" w:space="0" w:color="D7D6C7"/>
            </w:tcBorders>
          </w:tcPr>
          <w:p w:rsidR="00C77EBB" w:rsidRDefault="00F51053">
            <w:pPr>
              <w:pStyle w:val="TableParagraph"/>
              <w:spacing w:before="35" w:line="220" w:lineRule="auto"/>
              <w:ind w:left="69"/>
              <w:rPr>
                <w:sz w:val="16"/>
              </w:rPr>
            </w:pPr>
            <w:r>
              <w:rPr>
                <w:color w:val="4D4D4F"/>
                <w:sz w:val="16"/>
              </w:rPr>
              <w:t>A spatial unit which represents the whole geographical area of responsibility of an incorporated Local Government Council.</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Lux</w:t>
            </w:r>
          </w:p>
        </w:tc>
        <w:tc>
          <w:tcPr>
            <w:tcW w:w="6407" w:type="dxa"/>
            <w:tcBorders>
              <w:top w:val="single" w:sz="18" w:space="0" w:color="D7D6C7"/>
              <w:bottom w:val="single" w:sz="18" w:space="0" w:color="D7D6C7"/>
            </w:tcBorders>
          </w:tcPr>
          <w:p w:rsidR="00C77EBB" w:rsidRDefault="00F51053">
            <w:pPr>
              <w:pStyle w:val="TableParagraph"/>
              <w:spacing w:line="209" w:lineRule="exact"/>
              <w:ind w:left="69"/>
              <w:rPr>
                <w:sz w:val="16"/>
              </w:rPr>
            </w:pPr>
            <w:r>
              <w:rPr>
                <w:color w:val="4D4D4F"/>
                <w:sz w:val="16"/>
              </w:rPr>
              <w:t>Unit of illuminance and luminous emittance, measuring luminous flux per unit area, e.g.</w:t>
            </w:r>
          </w:p>
          <w:p w:rsidR="00C77EBB" w:rsidRDefault="00F51053">
            <w:pPr>
              <w:pStyle w:val="TableParagraph"/>
              <w:spacing w:before="0" w:line="209" w:lineRule="exact"/>
              <w:ind w:left="69"/>
              <w:rPr>
                <w:sz w:val="16"/>
              </w:rPr>
            </w:pPr>
            <w:r>
              <w:rPr>
                <w:color w:val="4D4D4F"/>
                <w:sz w:val="16"/>
              </w:rPr>
              <w:t>measuring brightness of a beam of light</w:t>
            </w:r>
            <w:r>
              <w:rPr>
                <w:color w:val="4D4D4F"/>
                <w:sz w:val="16"/>
              </w:rPr>
              <w:t xml:space="preserve"> (see Appendix E – LSC for more).</w:t>
            </w:r>
          </w:p>
        </w:tc>
        <w:tc>
          <w:tcPr>
            <w:tcW w:w="286" w:type="dxa"/>
            <w:tcBorders>
              <w:top w:val="single" w:sz="18" w:space="0" w:color="D7D6C7"/>
              <w:bottom w:val="single" w:sz="18" w:space="0" w:color="D7D6C7"/>
            </w:tcBorders>
          </w:tcPr>
          <w:p w:rsidR="00C77EBB" w:rsidRDefault="00F51053">
            <w:pPr>
              <w:pStyle w:val="TableParagraph"/>
              <w:ind w:left="41"/>
              <w:rPr>
                <w:sz w:val="16"/>
              </w:rPr>
            </w:pPr>
            <w:r>
              <w:rPr>
                <w:color w:val="4D4D4F"/>
                <w:sz w:val="16"/>
              </w:rPr>
              <w:t>for</w:t>
            </w: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Mainline valve</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MLVs are in-line block valves to allow for isolation and depressurisation. The valves can be closed to isolate sections of the pipeline for maintenance or during emergency conditions.</w:t>
            </w: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Megalitre</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A unit of capacity equal to a million litres.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Megawatt</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A un</w:t>
            </w:r>
            <w:r>
              <w:rPr>
                <w:color w:val="4D4D4F"/>
                <w:sz w:val="16"/>
              </w:rPr>
              <w:t>it of power equal to one million watts.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Million standard cubic feet per day</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A unit of measurement for gas.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spacing w:line="245" w:lineRule="exact"/>
              <w:rPr>
                <w:sz w:val="16"/>
              </w:rPr>
            </w:pPr>
            <w:r>
              <w:rPr>
                <w:color w:val="4D4D4F"/>
                <w:sz w:val="16"/>
              </w:rPr>
              <w:t>Mt CO</w:t>
            </w:r>
            <w:r>
              <w:rPr>
                <w:color w:val="4D4D4F"/>
                <w:position w:val="-4"/>
                <w:sz w:val="9"/>
              </w:rPr>
              <w:t>2</w:t>
            </w:r>
            <w:r>
              <w:rPr>
                <w:color w:val="4D4D4F"/>
                <w:sz w:val="16"/>
              </w:rPr>
              <w:t>-e</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Unit of measurement for greenhouse gas emissions.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spacing w:before="35" w:line="220" w:lineRule="auto"/>
              <w:rPr>
                <w:sz w:val="16"/>
              </w:rPr>
            </w:pPr>
            <w:r>
              <w:rPr>
                <w:color w:val="4D4D4F"/>
                <w:sz w:val="16"/>
              </w:rPr>
              <w:t>National Greenhouse and Energy Reporting Act (NGER Act)</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National framework for reporting and dissemination of information related to greenhouse gas emissions, greenhouse gas projects, energy production and energy consumption.</w:t>
            </w:r>
          </w:p>
        </w:tc>
      </w:tr>
      <w:tr w:rsidR="00C77EBB">
        <w:trPr>
          <w:trHeight w:val="886"/>
        </w:trPr>
        <w:tc>
          <w:tcPr>
            <w:tcW w:w="2698" w:type="dxa"/>
            <w:tcBorders>
              <w:top w:val="single" w:sz="18" w:space="0" w:color="D7D6C7"/>
              <w:bottom w:val="single" w:sz="18" w:space="0" w:color="D7D6C7"/>
            </w:tcBorders>
          </w:tcPr>
          <w:p w:rsidR="00C77EBB" w:rsidRDefault="00F51053">
            <w:pPr>
              <w:pStyle w:val="TableParagraph"/>
              <w:spacing w:before="35" w:line="220" w:lineRule="auto"/>
              <w:ind w:right="94"/>
              <w:rPr>
                <w:sz w:val="16"/>
              </w:rPr>
            </w:pPr>
            <w:r>
              <w:rPr>
                <w:i/>
                <w:color w:val="4D4D4F"/>
                <w:sz w:val="16"/>
              </w:rPr>
              <w:t xml:space="preserve">Protocol for Environmental Management (PEM): Greenhouses Gas Emissions and Energy Efficiency in Industry </w:t>
            </w:r>
            <w:r>
              <w:rPr>
                <w:color w:val="4D4D4F"/>
                <w:sz w:val="16"/>
              </w:rPr>
              <w:t>(PEM)</w:t>
            </w:r>
          </w:p>
        </w:tc>
        <w:tc>
          <w:tcPr>
            <w:tcW w:w="6693" w:type="dxa"/>
            <w:gridSpan w:val="2"/>
            <w:tcBorders>
              <w:top w:val="single" w:sz="18" w:space="0" w:color="D7D6C7"/>
              <w:bottom w:val="single" w:sz="18" w:space="0" w:color="D7D6C7"/>
            </w:tcBorders>
          </w:tcPr>
          <w:p w:rsidR="00C77EBB" w:rsidRDefault="00F51053">
            <w:pPr>
              <w:pStyle w:val="TableParagraph"/>
              <w:spacing w:before="35" w:line="220" w:lineRule="auto"/>
              <w:ind w:left="69" w:right="57"/>
              <w:rPr>
                <w:sz w:val="16"/>
              </w:rPr>
            </w:pPr>
            <w:r>
              <w:rPr>
                <w:color w:val="4D4D4F"/>
                <w:sz w:val="16"/>
              </w:rPr>
              <w:t xml:space="preserve">This PEM aims to ensure that entities subject to an EPA Victoria works approval or licence manage greenhouse gas emissions and energy associated </w:t>
            </w:r>
            <w:r>
              <w:rPr>
                <w:color w:val="4D4D4F"/>
                <w:sz w:val="16"/>
              </w:rPr>
              <w:t>with their activities.</w:t>
            </w: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Petajoule</w:t>
            </w:r>
          </w:p>
        </w:tc>
        <w:tc>
          <w:tcPr>
            <w:tcW w:w="6407" w:type="dxa"/>
            <w:tcBorders>
              <w:top w:val="single" w:sz="18" w:space="0" w:color="D7D6C7"/>
              <w:bottom w:val="single" w:sz="18" w:space="0" w:color="D7D6C7"/>
            </w:tcBorders>
          </w:tcPr>
          <w:p w:rsidR="00C77EBB" w:rsidRDefault="00F51053">
            <w:pPr>
              <w:pStyle w:val="TableParagraph"/>
              <w:spacing w:before="35" w:line="220" w:lineRule="auto"/>
              <w:ind w:left="69"/>
              <w:rPr>
                <w:sz w:val="16"/>
              </w:rPr>
            </w:pPr>
            <w:r>
              <w:rPr>
                <w:color w:val="4D4D4F"/>
                <w:sz w:val="16"/>
              </w:rPr>
              <w:t>A unit of energy used for expressing the energy contents of fuels, equal to a quadrillion joules.</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pig</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Pipeline inspection gauge</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4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Pigging</w:t>
            </w:r>
          </w:p>
        </w:tc>
        <w:tc>
          <w:tcPr>
            <w:tcW w:w="6407" w:type="dxa"/>
            <w:tcBorders>
              <w:top w:val="single" w:sz="18" w:space="0" w:color="D7D6C7"/>
              <w:bottom w:val="single" w:sz="18" w:space="0" w:color="D7D6C7"/>
            </w:tcBorders>
          </w:tcPr>
          <w:p w:rsidR="00C77EBB" w:rsidRDefault="00F51053">
            <w:pPr>
              <w:pStyle w:val="TableParagraph"/>
              <w:spacing w:line="209" w:lineRule="exact"/>
              <w:ind w:left="69"/>
              <w:rPr>
                <w:sz w:val="16"/>
              </w:rPr>
            </w:pPr>
            <w:r>
              <w:rPr>
                <w:color w:val="4D4D4F"/>
                <w:sz w:val="16"/>
              </w:rPr>
              <w:t>Process of cleaning and/or inspecting the pipeline with inline pipeline inspection tools</w:t>
            </w:r>
          </w:p>
          <w:p w:rsidR="00C77EBB" w:rsidRDefault="00F51053">
            <w:pPr>
              <w:pStyle w:val="TableParagraph"/>
              <w:spacing w:before="0" w:line="209" w:lineRule="exact"/>
              <w:ind w:left="69"/>
              <w:rPr>
                <w:sz w:val="16"/>
              </w:rPr>
            </w:pPr>
            <w:r>
              <w:rPr>
                <w:color w:val="4D4D4F"/>
                <w:sz w:val="16"/>
              </w:rPr>
              <w:t>(pigs) travelling with the flow in the pipeline.</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rPr>
                <w:sz w:val="16"/>
              </w:rPr>
            </w:pPr>
            <w:r>
              <w:rPr>
                <w:color w:val="4D4D4F"/>
                <w:sz w:val="16"/>
              </w:rPr>
              <w:t>Pipelines Act</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i/>
                <w:color w:val="4D4D4F"/>
                <w:sz w:val="16"/>
              </w:rPr>
              <w:t xml:space="preserve">Pipelines Act 2005 </w:t>
            </w:r>
            <w:r>
              <w:rPr>
                <w:color w:val="4D4D4F"/>
                <w:sz w:val="16"/>
              </w:rPr>
              <w:t>(Vic)</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r w:rsidR="00C77EBB">
        <w:trPr>
          <w:trHeight w:val="286"/>
        </w:trPr>
        <w:tc>
          <w:tcPr>
            <w:tcW w:w="2698" w:type="dxa"/>
            <w:tcBorders>
              <w:top w:val="single" w:sz="18" w:space="0" w:color="D7D6C7"/>
              <w:bottom w:val="single" w:sz="18" w:space="0" w:color="D7D6C7"/>
            </w:tcBorders>
          </w:tcPr>
          <w:p w:rsidR="00C77EBB" w:rsidRDefault="00F51053">
            <w:pPr>
              <w:pStyle w:val="TableParagraph"/>
              <w:spacing w:before="25" w:line="242" w:lineRule="exact"/>
              <w:rPr>
                <w:sz w:val="9"/>
              </w:rPr>
            </w:pPr>
            <w:r>
              <w:rPr>
                <w:color w:val="4D4D4F"/>
                <w:position w:val="5"/>
                <w:sz w:val="16"/>
              </w:rPr>
              <w:t>PM</w:t>
            </w:r>
            <w:r>
              <w:rPr>
                <w:color w:val="4D4D4F"/>
                <w:sz w:val="9"/>
              </w:rPr>
              <w:t>2.5</w:t>
            </w:r>
          </w:p>
        </w:tc>
        <w:tc>
          <w:tcPr>
            <w:tcW w:w="6407" w:type="dxa"/>
            <w:tcBorders>
              <w:top w:val="single" w:sz="18" w:space="0" w:color="D7D6C7"/>
              <w:bottom w:val="single" w:sz="18" w:space="0" w:color="D7D6C7"/>
            </w:tcBorders>
          </w:tcPr>
          <w:p w:rsidR="00C77EBB" w:rsidRDefault="00F51053">
            <w:pPr>
              <w:pStyle w:val="TableParagraph"/>
              <w:ind w:left="69"/>
              <w:rPr>
                <w:sz w:val="16"/>
              </w:rPr>
            </w:pPr>
            <w:r>
              <w:rPr>
                <w:color w:val="4D4D4F"/>
                <w:sz w:val="16"/>
              </w:rPr>
              <w:t>Airborne particulate matter with an aerodynamic diameter of less than 2.5 µm.</w:t>
            </w:r>
          </w:p>
        </w:tc>
        <w:tc>
          <w:tcPr>
            <w:tcW w:w="286" w:type="dxa"/>
            <w:tcBorders>
              <w:top w:val="single" w:sz="18" w:space="0" w:color="D7D6C7"/>
              <w:bottom w:val="single" w:sz="18" w:space="0" w:color="D7D6C7"/>
            </w:tcBorders>
          </w:tcPr>
          <w:p w:rsidR="00C77EBB" w:rsidRDefault="00C77EBB">
            <w:pPr>
              <w:pStyle w:val="TableParagraph"/>
              <w:spacing w:before="0"/>
              <w:ind w:left="0"/>
              <w:rPr>
                <w:rFonts w:ascii="Times New Roman"/>
                <w:sz w:val="14"/>
              </w:rPr>
            </w:pPr>
          </w:p>
        </w:tc>
      </w:tr>
    </w:tbl>
    <w:p w:rsidR="00C77EBB" w:rsidRDefault="00C77EBB">
      <w:pPr>
        <w:rPr>
          <w:rFonts w:ascii="Times New Roman"/>
          <w:sz w:val="14"/>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37" style="position:absolute;margin-left:581.1pt;margin-top:124.5pt;width:14.15pt;height:39.7pt;z-index:251706368;mso-position-horizontal-relative:page;mso-position-vertical-relative:page" fillcolor="#0e5d61" stroked="f">
            <w10:wrap anchorx="page" anchory="page"/>
          </v:rect>
        </w:pict>
      </w:r>
      <w:r>
        <w:pict>
          <v:group id="_x0000_s1032" style="position:absolute;margin-left:62.35pt;margin-top:37.4pt;width:532.95pt;height:25.2pt;z-index:251709440;mso-position-horizontal-relative:page;mso-position-vertical-relative:page" coordorigin="1247,748" coordsize="10659,504">
            <v:line id="_x0000_s1036" style="position:absolute" from="10616,748" to="10616,1247" strokecolor="#0e5d61" strokeweight="1.5mm"/>
            <v:line id="_x0000_s1035" style="position:absolute" from="1247,1247" to="11906,1247" strokecolor="#808285" strokeweight=".5pt"/>
            <v:shape id="_x0000_s1034" type="#_x0000_t202" style="position:absolute;left:6272;top:881;width:3868;height:219" filled="f" stroked="f">
              <v:textbox inset="0,0,0,0">
                <w:txbxContent>
                  <w:p w:rsidR="00C77EBB" w:rsidRDefault="00F51053">
                    <w:pPr>
                      <w:spacing w:line="206" w:lineRule="exact"/>
                      <w:rPr>
                        <w:sz w:val="16"/>
                      </w:rPr>
                    </w:pPr>
                    <w:r>
                      <w:rPr>
                        <w:color w:val="4D4D4F"/>
                        <w:sz w:val="16"/>
                      </w:rPr>
                      <w:t>Gas Import Jetty and Pipeline Project EES | Volume 1</w:t>
                    </w:r>
                  </w:p>
                </w:txbxContent>
              </v:textbox>
            </v:shape>
            <v:shape id="_x0000_s1033" type="#_x0000_t202" style="position:absolute;left:11081;top:802;width:334;height:355" filled="f" stroked="f">
              <v:textbox inset="0,0,0,0">
                <w:txbxContent>
                  <w:p w:rsidR="00C77EBB" w:rsidRDefault="00F51053">
                    <w:pPr>
                      <w:spacing w:line="334" w:lineRule="exact"/>
                      <w:rPr>
                        <w:b/>
                        <w:sz w:val="26"/>
                      </w:rPr>
                    </w:pPr>
                    <w:r>
                      <w:rPr>
                        <w:b/>
                        <w:color w:val="4D4D4F"/>
                        <w:sz w:val="26"/>
                      </w:rPr>
                      <w:t>19</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938"/>
        <w:gridCol w:w="1706"/>
        <w:gridCol w:w="6749"/>
      </w:tblGrid>
      <w:tr w:rsidR="00C77EBB">
        <w:trPr>
          <w:trHeight w:val="392"/>
        </w:trPr>
        <w:tc>
          <w:tcPr>
            <w:tcW w:w="938"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1706" w:type="dxa"/>
            <w:shd w:val="clear" w:color="auto" w:fill="0E5D61"/>
          </w:tcPr>
          <w:p w:rsidR="00C77EBB" w:rsidRDefault="00C77EBB">
            <w:pPr>
              <w:pStyle w:val="TableParagraph"/>
              <w:spacing w:before="0"/>
              <w:ind w:left="0"/>
              <w:rPr>
                <w:rFonts w:ascii="Times New Roman"/>
                <w:sz w:val="16"/>
              </w:rPr>
            </w:pPr>
          </w:p>
        </w:tc>
        <w:tc>
          <w:tcPr>
            <w:tcW w:w="6749" w:type="dxa"/>
            <w:shd w:val="clear" w:color="auto" w:fill="0E5D61"/>
          </w:tcPr>
          <w:p w:rsidR="00C77EBB" w:rsidRDefault="00F51053">
            <w:pPr>
              <w:pStyle w:val="TableParagraph"/>
              <w:spacing w:before="62"/>
              <w:ind w:left="124"/>
              <w:rPr>
                <w:rFonts w:ascii="Nunito Sans SemiBold"/>
                <w:b/>
                <w:sz w:val="18"/>
              </w:rPr>
            </w:pPr>
            <w:r>
              <w:rPr>
                <w:rFonts w:ascii="Nunito Sans SemiBold"/>
                <w:b/>
                <w:color w:val="FFFFFF"/>
                <w:sz w:val="18"/>
              </w:rPr>
              <w:t>Definition</w:t>
            </w:r>
          </w:p>
        </w:tc>
      </w:tr>
      <w:tr w:rsidR="00C77EBB">
        <w:trPr>
          <w:trHeight w:val="269"/>
        </w:trPr>
        <w:tc>
          <w:tcPr>
            <w:tcW w:w="938" w:type="dxa"/>
            <w:tcBorders>
              <w:bottom w:val="single" w:sz="18" w:space="0" w:color="D7D6C7"/>
            </w:tcBorders>
          </w:tcPr>
          <w:p w:rsidR="00C77EBB" w:rsidRDefault="00F51053">
            <w:pPr>
              <w:pStyle w:val="TableParagraph"/>
              <w:spacing w:before="4" w:line="245" w:lineRule="exact"/>
              <w:rPr>
                <w:sz w:val="9"/>
              </w:rPr>
            </w:pPr>
            <w:r>
              <w:rPr>
                <w:color w:val="4D4D4F"/>
                <w:sz w:val="16"/>
              </w:rPr>
              <w:t>PM</w:t>
            </w:r>
            <w:r>
              <w:rPr>
                <w:color w:val="4D4D4F"/>
                <w:position w:val="-4"/>
                <w:sz w:val="9"/>
              </w:rPr>
              <w:t>10</w:t>
            </w:r>
          </w:p>
        </w:tc>
        <w:tc>
          <w:tcPr>
            <w:tcW w:w="1706" w:type="dxa"/>
            <w:tcBorders>
              <w:bottom w:val="single" w:sz="18" w:space="0" w:color="D7D6C7"/>
            </w:tcBorders>
          </w:tcPr>
          <w:p w:rsidR="00C77EBB" w:rsidRDefault="00C77EBB">
            <w:pPr>
              <w:pStyle w:val="TableParagraph"/>
              <w:spacing w:before="0"/>
              <w:ind w:left="0"/>
              <w:rPr>
                <w:rFonts w:ascii="Times New Roman"/>
                <w:sz w:val="16"/>
              </w:rPr>
            </w:pPr>
          </w:p>
        </w:tc>
        <w:tc>
          <w:tcPr>
            <w:tcW w:w="6749" w:type="dxa"/>
            <w:tcBorders>
              <w:bottom w:val="single" w:sz="18" w:space="0" w:color="D7D6C7"/>
            </w:tcBorders>
          </w:tcPr>
          <w:p w:rsidR="00C77EBB" w:rsidRDefault="00F51053">
            <w:pPr>
              <w:pStyle w:val="TableParagraph"/>
              <w:spacing w:before="4"/>
              <w:ind w:left="123"/>
              <w:rPr>
                <w:sz w:val="16"/>
              </w:rPr>
            </w:pPr>
            <w:r>
              <w:rPr>
                <w:color w:val="4D4D4F"/>
                <w:sz w:val="16"/>
              </w:rPr>
              <w:t>Airborne particulate matter with an aerodynamic diameter of less than 10 µm.</w:t>
            </w:r>
          </w:p>
        </w:tc>
      </w:tr>
      <w:tr w:rsidR="00C77EBB">
        <w:trPr>
          <w:trHeight w:val="10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Potential acid sulfate soils (PASS)</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175"/>
              <w:rPr>
                <w:sz w:val="16"/>
              </w:rPr>
            </w:pPr>
            <w:r>
              <w:rPr>
                <w:color w:val="4D4D4F"/>
                <w:sz w:val="16"/>
              </w:rPr>
              <w:t xml:space="preserve">Soils that contain appreciable amounts of reduced inorganic sulfur that have not oxidised but will </w:t>
            </w:r>
            <w:r>
              <w:rPr>
                <w:color w:val="4D4D4F"/>
                <w:spacing w:val="2"/>
                <w:sz w:val="16"/>
              </w:rPr>
              <w:t xml:space="preserve">acidify </w:t>
            </w:r>
            <w:r>
              <w:rPr>
                <w:color w:val="4D4D4F"/>
                <w:sz w:val="16"/>
              </w:rPr>
              <w:t xml:space="preserve">to a pH of less than </w:t>
            </w:r>
            <w:r>
              <w:rPr>
                <w:color w:val="4D4D4F"/>
                <w:spacing w:val="2"/>
                <w:sz w:val="16"/>
              </w:rPr>
              <w:t xml:space="preserve">4.0 after </w:t>
            </w:r>
            <w:r>
              <w:rPr>
                <w:color w:val="4D4D4F"/>
                <w:sz w:val="16"/>
              </w:rPr>
              <w:t xml:space="preserve">oxidation. </w:t>
            </w:r>
            <w:r>
              <w:rPr>
                <w:color w:val="4D4D4F"/>
                <w:spacing w:val="2"/>
                <w:sz w:val="16"/>
              </w:rPr>
              <w:t xml:space="preserve">The </w:t>
            </w:r>
            <w:r>
              <w:rPr>
                <w:color w:val="4D4D4F"/>
                <w:sz w:val="16"/>
              </w:rPr>
              <w:t xml:space="preserve">soils are also known as hypersulfidic soil materials. </w:t>
            </w:r>
            <w:r>
              <w:rPr>
                <w:color w:val="4D4D4F"/>
                <w:spacing w:val="2"/>
                <w:sz w:val="16"/>
              </w:rPr>
              <w:t xml:space="preserve">The </w:t>
            </w:r>
            <w:r>
              <w:rPr>
                <w:color w:val="4D4D4F"/>
                <w:sz w:val="16"/>
              </w:rPr>
              <w:t xml:space="preserve">field pH of these soils in their undisturbed </w:t>
            </w:r>
            <w:r>
              <w:rPr>
                <w:color w:val="4D4D4F"/>
                <w:spacing w:val="2"/>
                <w:sz w:val="16"/>
              </w:rPr>
              <w:t xml:space="preserve">state </w:t>
            </w:r>
            <w:r>
              <w:rPr>
                <w:color w:val="4D4D4F"/>
                <w:sz w:val="16"/>
              </w:rPr>
              <w:t xml:space="preserve">is pH 4 or more, and may be neutral or slightly alkaline. Potential </w:t>
            </w:r>
            <w:r>
              <w:rPr>
                <w:color w:val="4D4D4F"/>
                <w:spacing w:val="2"/>
                <w:sz w:val="16"/>
              </w:rPr>
              <w:t xml:space="preserve">ASS </w:t>
            </w:r>
            <w:r>
              <w:rPr>
                <w:color w:val="4D4D4F"/>
                <w:sz w:val="16"/>
              </w:rPr>
              <w:t xml:space="preserve">pose an environmental hazard  if </w:t>
            </w:r>
            <w:r>
              <w:rPr>
                <w:color w:val="4D4D4F"/>
                <w:spacing w:val="2"/>
                <w:sz w:val="16"/>
              </w:rPr>
              <w:t xml:space="preserve">disturbed, </w:t>
            </w:r>
            <w:r>
              <w:rPr>
                <w:color w:val="4D4D4F"/>
                <w:sz w:val="16"/>
              </w:rPr>
              <w:t xml:space="preserve">as they can generate considerable </w:t>
            </w:r>
            <w:r>
              <w:rPr>
                <w:color w:val="4D4D4F"/>
                <w:spacing w:val="2"/>
                <w:sz w:val="16"/>
              </w:rPr>
              <w:t xml:space="preserve">acidity </w:t>
            </w:r>
            <w:r>
              <w:rPr>
                <w:color w:val="4D4D4F"/>
                <w:sz w:val="16"/>
              </w:rPr>
              <w:t>if</w:t>
            </w:r>
            <w:r>
              <w:rPr>
                <w:color w:val="4D4D4F"/>
                <w:spacing w:val="10"/>
                <w:sz w:val="16"/>
              </w:rPr>
              <w:t xml:space="preserve"> </w:t>
            </w:r>
            <w:r>
              <w:rPr>
                <w:color w:val="4D4D4F"/>
                <w:sz w:val="16"/>
              </w:rPr>
              <w:t>mismanaged.</w:t>
            </w:r>
          </w:p>
        </w:tc>
      </w:tr>
      <w:tr w:rsidR="00C77EBB">
        <w:trPr>
          <w:trHeight w:val="286"/>
        </w:trPr>
        <w:tc>
          <w:tcPr>
            <w:tcW w:w="938" w:type="dxa"/>
            <w:tcBorders>
              <w:top w:val="single" w:sz="18" w:space="0" w:color="D7D6C7"/>
              <w:bottom w:val="single" w:sz="18" w:space="0" w:color="D7D6C7"/>
            </w:tcBorders>
          </w:tcPr>
          <w:p w:rsidR="00C77EBB" w:rsidRDefault="00F51053">
            <w:pPr>
              <w:pStyle w:val="TableParagraph"/>
              <w:rPr>
                <w:sz w:val="16"/>
              </w:rPr>
            </w:pPr>
            <w:r>
              <w:rPr>
                <w:color w:val="4D4D4F"/>
                <w:sz w:val="16"/>
              </w:rPr>
              <w:t>Preferential</w:t>
            </w:r>
          </w:p>
        </w:tc>
        <w:tc>
          <w:tcPr>
            <w:tcW w:w="1706" w:type="dxa"/>
            <w:tcBorders>
              <w:top w:val="single" w:sz="18" w:space="0" w:color="D7D6C7"/>
              <w:bottom w:val="single" w:sz="18" w:space="0" w:color="D7D6C7"/>
            </w:tcBorders>
          </w:tcPr>
          <w:p w:rsidR="00C77EBB" w:rsidRDefault="00F51053">
            <w:pPr>
              <w:pStyle w:val="TableParagraph"/>
              <w:ind w:left="12"/>
              <w:rPr>
                <w:sz w:val="16"/>
              </w:rPr>
            </w:pPr>
            <w:r>
              <w:rPr>
                <w:color w:val="4D4D4F"/>
                <w:sz w:val="16"/>
              </w:rPr>
              <w:t>flowpath</w:t>
            </w:r>
          </w:p>
        </w:tc>
        <w:tc>
          <w:tcPr>
            <w:tcW w:w="6749" w:type="dxa"/>
            <w:tcBorders>
              <w:top w:val="single" w:sz="18" w:space="0" w:color="D7D6C7"/>
              <w:bottom w:val="single" w:sz="18" w:space="0" w:color="D7D6C7"/>
            </w:tcBorders>
          </w:tcPr>
          <w:p w:rsidR="00C77EBB" w:rsidRDefault="00F51053">
            <w:pPr>
              <w:pStyle w:val="TableParagraph"/>
              <w:ind w:left="123"/>
              <w:rPr>
                <w:sz w:val="16"/>
              </w:rPr>
            </w:pPr>
            <w:r>
              <w:rPr>
                <w:color w:val="4D4D4F"/>
                <w:sz w:val="16"/>
              </w:rPr>
              <w:t>The uneven and often rapid movement of water and solut</w:t>
            </w:r>
            <w:r>
              <w:rPr>
                <w:color w:val="4D4D4F"/>
                <w:sz w:val="16"/>
              </w:rPr>
              <w:t>es through porous media.</w:t>
            </w:r>
          </w:p>
        </w:tc>
      </w:tr>
      <w:tr w:rsidR="00C77EBB">
        <w:trPr>
          <w:trHeight w:val="486"/>
        </w:trPr>
        <w:tc>
          <w:tcPr>
            <w:tcW w:w="938" w:type="dxa"/>
            <w:tcBorders>
              <w:top w:val="single" w:sz="18" w:space="0" w:color="D7D6C7"/>
              <w:bottom w:val="single" w:sz="18" w:space="0" w:color="D7D6C7"/>
            </w:tcBorders>
          </w:tcPr>
          <w:p w:rsidR="00C77EBB" w:rsidRDefault="00F51053">
            <w:pPr>
              <w:pStyle w:val="TableParagraph"/>
              <w:rPr>
                <w:sz w:val="16"/>
              </w:rPr>
            </w:pPr>
            <w:r>
              <w:rPr>
                <w:color w:val="4D4D4F"/>
                <w:sz w:val="16"/>
              </w:rPr>
              <w:t>Priority Site</w:t>
            </w:r>
          </w:p>
        </w:tc>
        <w:tc>
          <w:tcPr>
            <w:tcW w:w="1706"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Pr>
                <w:sz w:val="16"/>
              </w:rPr>
            </w:pPr>
            <w:r>
              <w:rPr>
                <w:color w:val="4D4D4F"/>
                <w:sz w:val="16"/>
              </w:rPr>
              <w:t>Sites for which EPA Victoria has issued a clean-up notice, or a pollution abatement notice (relevant to land and/or groundwater).</w:t>
            </w:r>
          </w:p>
        </w:tc>
      </w:tr>
      <w:tr w:rsidR="00C77EBB">
        <w:trPr>
          <w:trHeight w:val="4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Project Life Cycle</w:t>
            </w:r>
          </w:p>
        </w:tc>
        <w:tc>
          <w:tcPr>
            <w:tcW w:w="6749" w:type="dxa"/>
            <w:tcBorders>
              <w:top w:val="single" w:sz="18" w:space="0" w:color="D7D6C7"/>
              <w:bottom w:val="single" w:sz="18" w:space="0" w:color="D7D6C7"/>
            </w:tcBorders>
          </w:tcPr>
          <w:p w:rsidR="00C77EBB" w:rsidRDefault="00F51053">
            <w:pPr>
              <w:pStyle w:val="TableParagraph"/>
              <w:spacing w:line="209" w:lineRule="exact"/>
              <w:ind w:left="123"/>
              <w:rPr>
                <w:sz w:val="16"/>
              </w:rPr>
            </w:pPr>
            <w:r>
              <w:rPr>
                <w:color w:val="4D4D4F"/>
                <w:sz w:val="16"/>
              </w:rPr>
              <w:t>Time interval that commences with the identification of the need for an asset and</w:t>
            </w:r>
          </w:p>
          <w:p w:rsidR="00C77EBB" w:rsidRDefault="00F51053">
            <w:pPr>
              <w:pStyle w:val="TableParagraph"/>
              <w:spacing w:before="0" w:line="209" w:lineRule="exact"/>
              <w:ind w:left="123"/>
              <w:rPr>
                <w:sz w:val="16"/>
              </w:rPr>
            </w:pPr>
            <w:r>
              <w:rPr>
                <w:color w:val="4D4D4F"/>
                <w:sz w:val="16"/>
              </w:rPr>
              <w:t>terminates with the decommissioning of the asset or any associated liabilities.</w:t>
            </w:r>
          </w:p>
        </w:tc>
      </w:tr>
      <w:tr w:rsidR="00C77EBB">
        <w:trPr>
          <w:trHeight w:val="6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Ramsar Convention</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711"/>
              <w:jc w:val="both"/>
              <w:rPr>
                <w:sz w:val="16"/>
              </w:rPr>
            </w:pPr>
            <w:r>
              <w:rPr>
                <w:color w:val="4D4D4F"/>
                <w:sz w:val="16"/>
              </w:rPr>
              <w:t>An intergovernmental treaty that provides the framework for national action and international cooperation for the conservation and wise use of wetlands and t</w:t>
            </w:r>
            <w:r>
              <w:rPr>
                <w:color w:val="4D4D4F"/>
                <w:sz w:val="16"/>
              </w:rPr>
              <w:t>heir resources.</w:t>
            </w:r>
          </w:p>
        </w:tc>
      </w:tr>
      <w:tr w:rsidR="00C77EBB">
        <w:trPr>
          <w:trHeight w:val="4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Regasification</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175"/>
              <w:rPr>
                <w:sz w:val="16"/>
              </w:rPr>
            </w:pPr>
            <w:r>
              <w:rPr>
                <w:color w:val="4D4D4F"/>
                <w:sz w:val="16"/>
              </w:rPr>
              <w:t>Regasification is the physical process by which liquefied natural gas (LNG) at a temperature of −163 °C, is heated to be returned into its gaseous state.</w:t>
            </w:r>
          </w:p>
        </w:tc>
      </w:tr>
      <w:tr w:rsidR="00C77EBB">
        <w:trPr>
          <w:trHeight w:val="10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Rehabilitation</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124"/>
              <w:rPr>
                <w:sz w:val="16"/>
              </w:rPr>
            </w:pPr>
            <w:r>
              <w:rPr>
                <w:color w:val="4D4D4F"/>
                <w:sz w:val="16"/>
              </w:rPr>
              <w:t xml:space="preserve">Rehabilitation is the process of </w:t>
            </w:r>
            <w:r>
              <w:rPr>
                <w:color w:val="4D4D4F"/>
                <w:spacing w:val="2"/>
                <w:sz w:val="16"/>
              </w:rPr>
              <w:t xml:space="preserve">restoring </w:t>
            </w:r>
            <w:r>
              <w:rPr>
                <w:color w:val="4D4D4F"/>
                <w:sz w:val="16"/>
              </w:rPr>
              <w:t xml:space="preserve">a site or area’s environmental </w:t>
            </w:r>
            <w:r>
              <w:rPr>
                <w:color w:val="4D4D4F"/>
                <w:spacing w:val="2"/>
                <w:sz w:val="16"/>
              </w:rPr>
              <w:t xml:space="preserve">attributes </w:t>
            </w:r>
            <w:r>
              <w:rPr>
                <w:color w:val="4D4D4F"/>
                <w:sz w:val="16"/>
              </w:rPr>
              <w:t xml:space="preserve">by returning an area to </w:t>
            </w:r>
            <w:r>
              <w:rPr>
                <w:color w:val="4D4D4F"/>
                <w:spacing w:val="2"/>
                <w:sz w:val="16"/>
              </w:rPr>
              <w:t xml:space="preserve">its pre-disturbance state. The </w:t>
            </w:r>
            <w:r>
              <w:rPr>
                <w:color w:val="4D4D4F"/>
                <w:sz w:val="16"/>
              </w:rPr>
              <w:t xml:space="preserve">process may include initial stabilisation, followed by </w:t>
            </w:r>
            <w:r>
              <w:rPr>
                <w:color w:val="4D4D4F"/>
                <w:spacing w:val="2"/>
                <w:sz w:val="16"/>
              </w:rPr>
              <w:t xml:space="preserve">regeneration, </w:t>
            </w:r>
            <w:r>
              <w:rPr>
                <w:color w:val="4D4D4F"/>
                <w:sz w:val="16"/>
              </w:rPr>
              <w:t xml:space="preserve">revegetation or </w:t>
            </w:r>
            <w:r>
              <w:rPr>
                <w:color w:val="4D4D4F"/>
                <w:spacing w:val="2"/>
                <w:sz w:val="16"/>
              </w:rPr>
              <w:t xml:space="preserve">restoration, </w:t>
            </w:r>
            <w:r>
              <w:rPr>
                <w:color w:val="4D4D4F"/>
                <w:sz w:val="16"/>
              </w:rPr>
              <w:t>depending upon the</w:t>
            </w:r>
            <w:r>
              <w:rPr>
                <w:color w:val="4D4D4F"/>
                <w:sz w:val="16"/>
              </w:rPr>
              <w:t xml:space="preserve"> defined scope  of </w:t>
            </w:r>
            <w:r>
              <w:rPr>
                <w:color w:val="4D4D4F"/>
                <w:spacing w:val="2"/>
                <w:sz w:val="16"/>
              </w:rPr>
              <w:t xml:space="preserve">works. </w:t>
            </w:r>
            <w:r>
              <w:rPr>
                <w:color w:val="4D4D4F"/>
                <w:sz w:val="16"/>
              </w:rPr>
              <w:t xml:space="preserve">Commonly the main </w:t>
            </w:r>
            <w:r>
              <w:rPr>
                <w:color w:val="4D4D4F"/>
                <w:spacing w:val="2"/>
                <w:sz w:val="16"/>
              </w:rPr>
              <w:t xml:space="preserve">objective </w:t>
            </w:r>
            <w:r>
              <w:rPr>
                <w:color w:val="4D4D4F"/>
                <w:sz w:val="16"/>
              </w:rPr>
              <w:t xml:space="preserve">of rehabilitation is </w:t>
            </w:r>
            <w:r>
              <w:rPr>
                <w:color w:val="4D4D4F"/>
                <w:spacing w:val="2"/>
                <w:sz w:val="16"/>
              </w:rPr>
              <w:t xml:space="preserve">either </w:t>
            </w:r>
            <w:r>
              <w:rPr>
                <w:color w:val="4D4D4F"/>
                <w:sz w:val="16"/>
              </w:rPr>
              <w:t xml:space="preserve">reinstatement of, or improvement </w:t>
            </w:r>
            <w:r>
              <w:rPr>
                <w:color w:val="4D4D4F"/>
                <w:spacing w:val="2"/>
                <w:sz w:val="16"/>
              </w:rPr>
              <w:t xml:space="preserve">on, </w:t>
            </w:r>
            <w:r>
              <w:rPr>
                <w:color w:val="4D4D4F"/>
                <w:sz w:val="16"/>
              </w:rPr>
              <w:t xml:space="preserve">the </w:t>
            </w:r>
            <w:r>
              <w:rPr>
                <w:color w:val="4D4D4F"/>
                <w:spacing w:val="2"/>
                <w:sz w:val="16"/>
              </w:rPr>
              <w:t>pre-existing</w:t>
            </w:r>
            <w:r>
              <w:rPr>
                <w:color w:val="4D4D4F"/>
                <w:spacing w:val="-1"/>
                <w:sz w:val="16"/>
              </w:rPr>
              <w:t xml:space="preserve"> </w:t>
            </w:r>
            <w:r>
              <w:rPr>
                <w:color w:val="4D4D4F"/>
                <w:spacing w:val="2"/>
                <w:sz w:val="16"/>
              </w:rPr>
              <w:t>condition.</w:t>
            </w:r>
          </w:p>
        </w:tc>
      </w:tr>
      <w:tr w:rsidR="00C77EBB">
        <w:trPr>
          <w:trHeight w:val="1286"/>
        </w:trPr>
        <w:tc>
          <w:tcPr>
            <w:tcW w:w="2644" w:type="dxa"/>
            <w:gridSpan w:val="2"/>
            <w:tcBorders>
              <w:top w:val="single" w:sz="18" w:space="0" w:color="D7D6C7"/>
              <w:bottom w:val="single" w:sz="18" w:space="0" w:color="D7D6C7"/>
            </w:tcBorders>
          </w:tcPr>
          <w:p w:rsidR="00C77EBB" w:rsidRDefault="00F51053">
            <w:pPr>
              <w:pStyle w:val="TableParagraph"/>
              <w:spacing w:before="35" w:line="220" w:lineRule="auto"/>
              <w:rPr>
                <w:sz w:val="16"/>
              </w:rPr>
            </w:pPr>
            <w:r>
              <w:rPr>
                <w:color w:val="4D4D4F"/>
                <w:sz w:val="16"/>
              </w:rPr>
              <w:t>Representative Concentration Pathways (RCPs)</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674"/>
              <w:rPr>
                <w:sz w:val="16"/>
              </w:rPr>
            </w:pPr>
            <w:r>
              <w:rPr>
                <w:color w:val="4D4D4F"/>
                <w:sz w:val="16"/>
              </w:rPr>
              <w:t>Representative Concentration Pathways (RCPs) follow a set of greenhouse gas,   air</w:t>
            </w:r>
            <w:r>
              <w:rPr>
                <w:color w:val="4D4D4F"/>
                <w:spacing w:val="8"/>
                <w:sz w:val="16"/>
              </w:rPr>
              <w:t xml:space="preserve"> </w:t>
            </w:r>
            <w:r>
              <w:rPr>
                <w:color w:val="4D4D4F"/>
                <w:sz w:val="16"/>
              </w:rPr>
              <w:t>pollution</w:t>
            </w:r>
            <w:r>
              <w:rPr>
                <w:color w:val="4D4D4F"/>
                <w:spacing w:val="8"/>
                <w:sz w:val="16"/>
              </w:rPr>
              <w:t xml:space="preserve"> </w:t>
            </w:r>
            <w:r>
              <w:rPr>
                <w:color w:val="4D4D4F"/>
                <w:sz w:val="16"/>
              </w:rPr>
              <w:t>(e.g.</w:t>
            </w:r>
            <w:r>
              <w:rPr>
                <w:color w:val="4D4D4F"/>
                <w:spacing w:val="8"/>
                <w:sz w:val="16"/>
              </w:rPr>
              <w:t xml:space="preserve"> </w:t>
            </w:r>
            <w:r>
              <w:rPr>
                <w:color w:val="4D4D4F"/>
                <w:sz w:val="16"/>
              </w:rPr>
              <w:t>aerosols)</w:t>
            </w:r>
            <w:r>
              <w:rPr>
                <w:color w:val="4D4D4F"/>
                <w:spacing w:val="9"/>
                <w:sz w:val="16"/>
              </w:rPr>
              <w:t xml:space="preserve"> </w:t>
            </w:r>
            <w:r>
              <w:rPr>
                <w:color w:val="4D4D4F"/>
                <w:sz w:val="16"/>
              </w:rPr>
              <w:t>and</w:t>
            </w:r>
            <w:r>
              <w:rPr>
                <w:color w:val="4D4D4F"/>
                <w:spacing w:val="8"/>
                <w:sz w:val="16"/>
              </w:rPr>
              <w:t xml:space="preserve"> </w:t>
            </w:r>
            <w:r>
              <w:rPr>
                <w:color w:val="4D4D4F"/>
                <w:sz w:val="16"/>
              </w:rPr>
              <w:t>land-use</w:t>
            </w:r>
            <w:r>
              <w:rPr>
                <w:color w:val="4D4D4F"/>
                <w:spacing w:val="8"/>
                <w:sz w:val="16"/>
              </w:rPr>
              <w:t xml:space="preserve"> </w:t>
            </w:r>
            <w:r>
              <w:rPr>
                <w:color w:val="4D4D4F"/>
                <w:sz w:val="16"/>
              </w:rPr>
              <w:t>scenarios</w:t>
            </w:r>
            <w:r>
              <w:rPr>
                <w:color w:val="4D4D4F"/>
                <w:spacing w:val="8"/>
                <w:sz w:val="16"/>
              </w:rPr>
              <w:t xml:space="preserve"> </w:t>
            </w:r>
            <w:r>
              <w:rPr>
                <w:color w:val="4D4D4F"/>
                <w:sz w:val="16"/>
              </w:rPr>
              <w:t>that</w:t>
            </w:r>
            <w:r>
              <w:rPr>
                <w:color w:val="4D4D4F"/>
                <w:spacing w:val="9"/>
                <w:sz w:val="16"/>
              </w:rPr>
              <w:t xml:space="preserve"> </w:t>
            </w:r>
            <w:r>
              <w:rPr>
                <w:color w:val="4D4D4F"/>
                <w:sz w:val="16"/>
              </w:rPr>
              <w:t>are</w:t>
            </w:r>
            <w:r>
              <w:rPr>
                <w:color w:val="4D4D4F"/>
                <w:spacing w:val="8"/>
                <w:sz w:val="16"/>
              </w:rPr>
              <w:t xml:space="preserve"> </w:t>
            </w:r>
            <w:r>
              <w:rPr>
                <w:color w:val="4D4D4F"/>
                <w:sz w:val="16"/>
              </w:rPr>
              <w:t>consistent</w:t>
            </w:r>
            <w:r>
              <w:rPr>
                <w:color w:val="4D4D4F"/>
                <w:spacing w:val="8"/>
                <w:sz w:val="16"/>
              </w:rPr>
              <w:t xml:space="preserve"> </w:t>
            </w:r>
            <w:r>
              <w:rPr>
                <w:color w:val="4D4D4F"/>
                <w:sz w:val="16"/>
              </w:rPr>
              <w:t>with</w:t>
            </w:r>
            <w:r>
              <w:rPr>
                <w:color w:val="4D4D4F"/>
                <w:spacing w:val="8"/>
                <w:sz w:val="16"/>
              </w:rPr>
              <w:t xml:space="preserve"> </w:t>
            </w:r>
            <w:r>
              <w:rPr>
                <w:color w:val="4D4D4F"/>
                <w:spacing w:val="2"/>
                <w:sz w:val="16"/>
              </w:rPr>
              <w:t>certain</w:t>
            </w:r>
          </w:p>
          <w:p w:rsidR="00C77EBB" w:rsidRDefault="00F51053">
            <w:pPr>
              <w:pStyle w:val="TableParagraph"/>
              <w:spacing w:before="0" w:line="220" w:lineRule="auto"/>
              <w:ind w:left="123"/>
              <w:rPr>
                <w:sz w:val="16"/>
              </w:rPr>
            </w:pPr>
            <w:r>
              <w:rPr>
                <w:color w:val="4D4D4F"/>
                <w:sz w:val="16"/>
              </w:rPr>
              <w:t>socio-economic assumptions of how the future may evolve over time. The well mixed concentra</w:t>
            </w:r>
            <w:r>
              <w:rPr>
                <w:color w:val="4D4D4F"/>
                <w:sz w:val="16"/>
              </w:rPr>
              <w:t>tions of greenhouse gases and aerosols in the atmosphere are affected by emissions as well as absorption through land and ocean sinks. There are four RCPs that represent the range of plausible futures from the published literature.</w:t>
            </w:r>
          </w:p>
        </w:tc>
      </w:tr>
      <w:tr w:rsidR="00C77EBB">
        <w:trPr>
          <w:trHeight w:val="6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Right of way (ROW)</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175"/>
              <w:rPr>
                <w:sz w:val="16"/>
              </w:rPr>
            </w:pPr>
            <w:r>
              <w:rPr>
                <w:color w:val="4D4D4F"/>
                <w:sz w:val="16"/>
              </w:rPr>
              <w:t>A specific section of the Project Area for carrying out pipeline construction activities such as trenching and excavation. The pipeline construction ROW is a corridor generally 30 metres in width.</w:t>
            </w:r>
          </w:p>
        </w:tc>
      </w:tr>
      <w:tr w:rsidR="00C77EBB">
        <w:trPr>
          <w:trHeight w:val="286"/>
        </w:trPr>
        <w:tc>
          <w:tcPr>
            <w:tcW w:w="938" w:type="dxa"/>
            <w:tcBorders>
              <w:top w:val="single" w:sz="18" w:space="0" w:color="D7D6C7"/>
              <w:bottom w:val="single" w:sz="18" w:space="0" w:color="D7D6C7"/>
            </w:tcBorders>
          </w:tcPr>
          <w:p w:rsidR="00C77EBB" w:rsidRDefault="00F51053">
            <w:pPr>
              <w:pStyle w:val="TableParagraph"/>
              <w:rPr>
                <w:sz w:val="16"/>
              </w:rPr>
            </w:pPr>
            <w:r>
              <w:rPr>
                <w:color w:val="4D4D4F"/>
                <w:sz w:val="16"/>
              </w:rPr>
              <w:t>Roosting</w:t>
            </w:r>
          </w:p>
        </w:tc>
        <w:tc>
          <w:tcPr>
            <w:tcW w:w="1706"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c>
          <w:tcPr>
            <w:tcW w:w="6749" w:type="dxa"/>
            <w:tcBorders>
              <w:top w:val="single" w:sz="18" w:space="0" w:color="D7D6C7"/>
              <w:bottom w:val="single" w:sz="18" w:space="0" w:color="D7D6C7"/>
            </w:tcBorders>
          </w:tcPr>
          <w:p w:rsidR="00C77EBB" w:rsidRDefault="00F51053">
            <w:pPr>
              <w:pStyle w:val="TableParagraph"/>
              <w:ind w:left="123"/>
              <w:rPr>
                <w:sz w:val="16"/>
              </w:rPr>
            </w:pPr>
            <w:r>
              <w:rPr>
                <w:color w:val="4D4D4F"/>
                <w:sz w:val="16"/>
              </w:rPr>
              <w:t>Roosting sites are places whe</w:t>
            </w:r>
            <w:r>
              <w:rPr>
                <w:color w:val="4D4D4F"/>
                <w:sz w:val="16"/>
              </w:rPr>
              <w:t>re birds or fowls can settle or rest safely, particularly at night</w:t>
            </w:r>
          </w:p>
        </w:tc>
      </w:tr>
      <w:tr w:rsidR="00C77EBB">
        <w:trPr>
          <w:trHeight w:val="4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Saline intrusion</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175"/>
              <w:rPr>
                <w:sz w:val="16"/>
              </w:rPr>
            </w:pPr>
            <w:r>
              <w:rPr>
                <w:color w:val="4D4D4F"/>
                <w:sz w:val="16"/>
              </w:rPr>
              <w:t>The movement of saline water into a freshwater aquifer, which can lead to contamination of drinking water sources and other consequences.</w:t>
            </w:r>
          </w:p>
        </w:tc>
      </w:tr>
      <w:tr w:rsidR="00C77EBB">
        <w:trPr>
          <w:trHeight w:val="686"/>
        </w:trPr>
        <w:tc>
          <w:tcPr>
            <w:tcW w:w="938" w:type="dxa"/>
            <w:tcBorders>
              <w:top w:val="single" w:sz="18" w:space="0" w:color="D7D6C7"/>
              <w:bottom w:val="single" w:sz="18" w:space="0" w:color="D7D6C7"/>
            </w:tcBorders>
          </w:tcPr>
          <w:p w:rsidR="00C77EBB" w:rsidRDefault="00F51053">
            <w:pPr>
              <w:pStyle w:val="TableParagraph"/>
              <w:rPr>
                <w:sz w:val="16"/>
              </w:rPr>
            </w:pPr>
            <w:r>
              <w:rPr>
                <w:color w:val="4D4D4F"/>
                <w:sz w:val="16"/>
              </w:rPr>
              <w:t>Sensitivity</w:t>
            </w:r>
          </w:p>
        </w:tc>
        <w:tc>
          <w:tcPr>
            <w:tcW w:w="1706"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Pr>
                <w:sz w:val="16"/>
              </w:rPr>
            </w:pPr>
            <w:r>
              <w:rPr>
                <w:color w:val="4D4D4F"/>
                <w:sz w:val="16"/>
              </w:rPr>
              <w:t xml:space="preserve">A term applied to specific receptors, combining judgements of the susceptibility of the receptor to the </w:t>
            </w:r>
            <w:r>
              <w:rPr>
                <w:color w:val="4D4D4F"/>
                <w:sz w:val="16"/>
              </w:rPr>
              <w:t>specific type of change or development proposed and the value attached to that receptor.</w:t>
            </w:r>
          </w:p>
        </w:tc>
      </w:tr>
      <w:tr w:rsidR="00C77EBB">
        <w:trPr>
          <w:trHeight w:val="4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Sensitive receptor</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Pr>
                <w:sz w:val="16"/>
              </w:rPr>
            </w:pPr>
            <w:r>
              <w:rPr>
                <w:color w:val="4D4D4F"/>
                <w:sz w:val="16"/>
              </w:rPr>
              <w:t>Areas where the occupants, buildings or land use are potentially susceptible to the adverse effects of exposure to noise and vibration.</w:t>
            </w:r>
          </w:p>
        </w:tc>
      </w:tr>
      <w:tr w:rsidR="00C77EBB">
        <w:trPr>
          <w:trHeight w:val="14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Sensitive receiver/receptor</w:t>
            </w: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223"/>
              <w:rPr>
                <w:sz w:val="16"/>
              </w:rPr>
            </w:pPr>
            <w:r>
              <w:rPr>
                <w:color w:val="4D4D4F"/>
                <w:sz w:val="16"/>
              </w:rPr>
              <w:t>Includes residences, educational institutions (including preschools, schools, universities,</w:t>
            </w:r>
            <w:r>
              <w:rPr>
                <w:color w:val="4D4D4F"/>
                <w:sz w:val="16"/>
              </w:rPr>
              <w:t xml:space="preserve"> TAFE colleges), health care facilities (including nursing homes, hospitals), religious facilities (including churches), child care centres, passive recreation areas (including outdoor grounds used for teaching), active recreation areas (including parks an</w:t>
            </w:r>
            <w:r>
              <w:rPr>
                <w:color w:val="4D4D4F"/>
                <w:sz w:val="16"/>
              </w:rPr>
              <w:t>d sports grounds), commercial premises (including film and television studios, research facilities, entertainment spaces, temporary accommodation such as caravan parks and camping grounds, restaurants, office premises, retail spaces and industrial premises</w:t>
            </w:r>
            <w:r>
              <w:rPr>
                <w:color w:val="4D4D4F"/>
                <w:sz w:val="16"/>
              </w:rPr>
              <w:t>).</w:t>
            </w:r>
          </w:p>
        </w:tc>
      </w:tr>
      <w:tr w:rsidR="00C77EBB">
        <w:trPr>
          <w:trHeight w:val="886"/>
        </w:trPr>
        <w:tc>
          <w:tcPr>
            <w:tcW w:w="938" w:type="dxa"/>
            <w:tcBorders>
              <w:top w:val="single" w:sz="18" w:space="0" w:color="D7D6C7"/>
              <w:bottom w:val="single" w:sz="18" w:space="0" w:color="D7D6C7"/>
            </w:tcBorders>
          </w:tcPr>
          <w:p w:rsidR="00C77EBB" w:rsidRDefault="00F51053">
            <w:pPr>
              <w:pStyle w:val="TableParagraph"/>
              <w:rPr>
                <w:sz w:val="16"/>
              </w:rPr>
            </w:pPr>
            <w:r>
              <w:rPr>
                <w:color w:val="4D4D4F"/>
                <w:sz w:val="16"/>
              </w:rPr>
              <w:t>Sky glow</w:t>
            </w:r>
          </w:p>
        </w:tc>
        <w:tc>
          <w:tcPr>
            <w:tcW w:w="1706" w:type="dxa"/>
            <w:tcBorders>
              <w:top w:val="single" w:sz="18" w:space="0" w:color="D7D6C7"/>
              <w:bottom w:val="single" w:sz="18" w:space="0" w:color="D7D6C7"/>
            </w:tcBorders>
          </w:tcPr>
          <w:p w:rsidR="00C77EBB" w:rsidRDefault="00C77EBB">
            <w:pPr>
              <w:pStyle w:val="TableParagraph"/>
              <w:spacing w:before="0"/>
              <w:ind w:left="0"/>
              <w:rPr>
                <w:rFonts w:ascii="Times New Roman"/>
                <w:sz w:val="16"/>
              </w:rPr>
            </w:pPr>
          </w:p>
        </w:tc>
        <w:tc>
          <w:tcPr>
            <w:tcW w:w="6749" w:type="dxa"/>
            <w:tcBorders>
              <w:top w:val="single" w:sz="18" w:space="0" w:color="D7D6C7"/>
              <w:bottom w:val="single" w:sz="18" w:space="0" w:color="D7D6C7"/>
            </w:tcBorders>
          </w:tcPr>
          <w:p w:rsidR="00C77EBB" w:rsidRDefault="00F51053">
            <w:pPr>
              <w:pStyle w:val="TableParagraph"/>
              <w:spacing w:before="35" w:line="220" w:lineRule="auto"/>
              <w:ind w:left="123" w:right="47"/>
              <w:rPr>
                <w:sz w:val="16"/>
              </w:rPr>
            </w:pPr>
            <w:r>
              <w:rPr>
                <w:color w:val="4D4D4F"/>
                <w:sz w:val="16"/>
              </w:rPr>
              <w:t>Lighting installed for a functional purpose increases night sky brightness and is the human-made source of sky glow. Light that is either emitted directly upward by luminaires or reflected from the ground is scattered by dust and gas molecules in the atmos</w:t>
            </w:r>
            <w:r>
              <w:rPr>
                <w:color w:val="4D4D4F"/>
                <w:sz w:val="16"/>
              </w:rPr>
              <w:t>phere, producing a luminous background (see Appendix E – LSC for more).</w:t>
            </w:r>
          </w:p>
        </w:tc>
      </w:tr>
      <w:tr w:rsidR="00C77EBB">
        <w:trPr>
          <w:trHeight w:val="286"/>
        </w:trPr>
        <w:tc>
          <w:tcPr>
            <w:tcW w:w="2644" w:type="dxa"/>
            <w:gridSpan w:val="2"/>
            <w:tcBorders>
              <w:top w:val="single" w:sz="18" w:space="0" w:color="D7D6C7"/>
              <w:bottom w:val="single" w:sz="18" w:space="0" w:color="D7D6C7"/>
            </w:tcBorders>
          </w:tcPr>
          <w:p w:rsidR="00C77EBB" w:rsidRDefault="00F51053">
            <w:pPr>
              <w:pStyle w:val="TableParagraph"/>
              <w:rPr>
                <w:sz w:val="16"/>
              </w:rPr>
            </w:pPr>
            <w:r>
              <w:rPr>
                <w:color w:val="4D4D4F"/>
                <w:sz w:val="16"/>
              </w:rPr>
              <w:t>Sound pressure level</w:t>
            </w:r>
          </w:p>
        </w:tc>
        <w:tc>
          <w:tcPr>
            <w:tcW w:w="6749" w:type="dxa"/>
            <w:tcBorders>
              <w:top w:val="single" w:sz="18" w:space="0" w:color="D7D6C7"/>
              <w:bottom w:val="single" w:sz="18" w:space="0" w:color="D7D6C7"/>
            </w:tcBorders>
          </w:tcPr>
          <w:p w:rsidR="00C77EBB" w:rsidRDefault="00F51053">
            <w:pPr>
              <w:pStyle w:val="TableParagraph"/>
              <w:ind w:left="123"/>
              <w:rPr>
                <w:sz w:val="16"/>
              </w:rPr>
            </w:pPr>
            <w:r>
              <w:rPr>
                <w:color w:val="4D4D4F"/>
                <w:sz w:val="16"/>
              </w:rPr>
              <w:t>The amount of sound at a specified receiving point.</w:t>
            </w:r>
          </w:p>
        </w:tc>
      </w:tr>
    </w:tbl>
    <w:p w:rsidR="00C77EBB" w:rsidRDefault="00C77EBB">
      <w:pPr>
        <w:rPr>
          <w:sz w:val="16"/>
        </w:rPr>
        <w:sectPr w:rsidR="00C77EBB">
          <w:pgSz w:w="11910" w:h="16840"/>
          <w:pgMar w:top="740" w:right="1140" w:bottom="280" w:left="1140" w:header="720" w:footer="720" w:gutter="0"/>
          <w:cols w:space="720"/>
        </w:sectPr>
      </w:pPr>
    </w:p>
    <w:p w:rsidR="00C77EBB" w:rsidRDefault="00F51053">
      <w:pPr>
        <w:rPr>
          <w:b/>
          <w:sz w:val="20"/>
        </w:rPr>
      </w:pPr>
      <w:r>
        <w:lastRenderedPageBreak/>
        <w:pict>
          <v:rect id="_x0000_s1031" style="position:absolute;margin-left:0;margin-top:124.5pt;width:14.15pt;height:39.7pt;z-index:251710464;mso-position-horizontal-relative:page;mso-position-vertical-relative:page" fillcolor="#0e5d61" stroked="f">
            <w10:wrap anchorx="page" anchory="page"/>
          </v:rect>
        </w:pict>
      </w:r>
      <w:r>
        <w:pict>
          <v:group id="_x0000_s1026" style="position:absolute;margin-left:0;margin-top:37.4pt;width:532.95pt;height:25.2pt;z-index:-254625792;mso-position-horizontal-relative:page;mso-position-vertical-relative:page" coordorigin=",748" coordsize="10659,504">
            <v:line id="_x0000_s1030" style="position:absolute" from="1290,748" to="1290,1247" strokecolor="#0e5d61" strokeweight="1.5mm"/>
            <v:line id="_x0000_s1029" style="position:absolute" from="0,1247" to="10658,1247" strokecolor="#808285" strokeweight=".5pt"/>
            <v:shape id="_x0000_s1028" type="#_x0000_t202" style="position:absolute;left:510;top:802;width:330;height:355" filled="f" stroked="f">
              <v:textbox inset="0,0,0,0">
                <w:txbxContent>
                  <w:p w:rsidR="00C77EBB" w:rsidRDefault="00F51053">
                    <w:pPr>
                      <w:spacing w:line="334" w:lineRule="exact"/>
                      <w:rPr>
                        <w:b/>
                        <w:sz w:val="26"/>
                      </w:rPr>
                    </w:pPr>
                    <w:r>
                      <w:rPr>
                        <w:b/>
                        <w:color w:val="4D4D4F"/>
                        <w:sz w:val="26"/>
                      </w:rPr>
                      <w:t>20</w:t>
                    </w:r>
                  </w:p>
                </w:txbxContent>
              </v:textbox>
            </v:shape>
            <v:shape id="_x0000_s1027" type="#_x0000_t202" style="position:absolute;left:1785;top:881;width:2041;height:219" filled="f" stroked="f">
              <v:textbox inset="0,0,0,0">
                <w:txbxContent>
                  <w:p w:rsidR="00C77EBB" w:rsidRDefault="00F51053">
                    <w:pPr>
                      <w:spacing w:line="206" w:lineRule="exact"/>
                      <w:rPr>
                        <w:sz w:val="16"/>
                      </w:rPr>
                    </w:pPr>
                    <w:r>
                      <w:rPr>
                        <w:color w:val="4D4D4F"/>
                        <w:sz w:val="16"/>
                      </w:rPr>
                      <w:t>Glossary and Abbreviations</w:t>
                    </w:r>
                  </w:p>
                </w:txbxContent>
              </v:textbox>
            </v:shape>
            <w10:wrap anchorx="page" anchory="page"/>
          </v:group>
        </w:pict>
      </w: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rPr>
          <w:b/>
          <w:sz w:val="20"/>
        </w:rPr>
      </w:pPr>
    </w:p>
    <w:p w:rsidR="00C77EBB" w:rsidRDefault="00C77EBB">
      <w:pPr>
        <w:spacing w:before="13"/>
        <w:rPr>
          <w:b/>
          <w:sz w:val="26"/>
        </w:rPr>
      </w:pPr>
    </w:p>
    <w:tbl>
      <w:tblPr>
        <w:tblW w:w="0" w:type="auto"/>
        <w:tblInd w:w="114" w:type="dxa"/>
        <w:tblLayout w:type="fixed"/>
        <w:tblCellMar>
          <w:left w:w="0" w:type="dxa"/>
          <w:right w:w="0" w:type="dxa"/>
        </w:tblCellMar>
        <w:tblLook w:val="01E0" w:firstRow="1" w:lastRow="1" w:firstColumn="1" w:lastColumn="1" w:noHBand="0" w:noVBand="0"/>
      </w:tblPr>
      <w:tblGrid>
        <w:gridCol w:w="2540"/>
        <w:gridCol w:w="6852"/>
      </w:tblGrid>
      <w:tr w:rsidR="00C77EBB">
        <w:trPr>
          <w:trHeight w:val="392"/>
        </w:trPr>
        <w:tc>
          <w:tcPr>
            <w:tcW w:w="2540" w:type="dxa"/>
            <w:shd w:val="clear" w:color="auto" w:fill="0E5D61"/>
          </w:tcPr>
          <w:p w:rsidR="00C77EBB" w:rsidRDefault="00F51053">
            <w:pPr>
              <w:pStyle w:val="TableParagraph"/>
              <w:spacing w:before="62"/>
              <w:rPr>
                <w:rFonts w:ascii="Nunito Sans SemiBold"/>
                <w:b/>
                <w:sz w:val="18"/>
              </w:rPr>
            </w:pPr>
            <w:r>
              <w:rPr>
                <w:rFonts w:ascii="Nunito Sans SemiBold"/>
                <w:b/>
                <w:color w:val="FFFFFF"/>
                <w:sz w:val="18"/>
              </w:rPr>
              <w:t>Term</w:t>
            </w:r>
          </w:p>
        </w:tc>
        <w:tc>
          <w:tcPr>
            <w:tcW w:w="6852" w:type="dxa"/>
            <w:shd w:val="clear" w:color="auto" w:fill="0E5D61"/>
          </w:tcPr>
          <w:p w:rsidR="00C77EBB" w:rsidRDefault="00F51053">
            <w:pPr>
              <w:pStyle w:val="TableParagraph"/>
              <w:spacing w:before="62"/>
              <w:ind w:left="228"/>
              <w:rPr>
                <w:rFonts w:ascii="Nunito Sans SemiBold"/>
                <w:b/>
                <w:sz w:val="18"/>
              </w:rPr>
            </w:pPr>
            <w:r>
              <w:rPr>
                <w:rFonts w:ascii="Nunito Sans SemiBold"/>
                <w:b/>
                <w:color w:val="FFFFFF"/>
                <w:sz w:val="18"/>
              </w:rPr>
              <w:t>Definition</w:t>
            </w:r>
          </w:p>
        </w:tc>
      </w:tr>
      <w:tr w:rsidR="00C77EBB">
        <w:trPr>
          <w:trHeight w:val="469"/>
        </w:trPr>
        <w:tc>
          <w:tcPr>
            <w:tcW w:w="2540" w:type="dxa"/>
            <w:tcBorders>
              <w:bottom w:val="single" w:sz="18" w:space="0" w:color="D7D6C7"/>
            </w:tcBorders>
          </w:tcPr>
          <w:p w:rsidR="00C77EBB" w:rsidRDefault="00F51053">
            <w:pPr>
              <w:pStyle w:val="TableParagraph"/>
              <w:spacing w:before="4"/>
              <w:rPr>
                <w:sz w:val="16"/>
              </w:rPr>
            </w:pPr>
            <w:r>
              <w:rPr>
                <w:color w:val="4D4D4F"/>
                <w:sz w:val="16"/>
              </w:rPr>
              <w:t>Special Building Overlay (SBO)</w:t>
            </w:r>
          </w:p>
        </w:tc>
        <w:tc>
          <w:tcPr>
            <w:tcW w:w="6852" w:type="dxa"/>
            <w:tcBorders>
              <w:bottom w:val="single" w:sz="18" w:space="0" w:color="D7D6C7"/>
            </w:tcBorders>
          </w:tcPr>
          <w:p w:rsidR="00C77EBB" w:rsidRDefault="00F51053">
            <w:pPr>
              <w:pStyle w:val="TableParagraph"/>
              <w:spacing w:before="18" w:line="220" w:lineRule="auto"/>
              <w:ind w:left="227"/>
              <w:rPr>
                <w:sz w:val="16"/>
              </w:rPr>
            </w:pPr>
            <w:r>
              <w:rPr>
                <w:color w:val="4D4D4F"/>
                <w:sz w:val="16"/>
              </w:rPr>
              <w:t>Identification under state planning schemes of land in urban areas liable to inundation by overland flows from the urban drainage system.</w:t>
            </w:r>
          </w:p>
        </w:tc>
      </w:tr>
      <w:tr w:rsidR="00C77EBB">
        <w:trPr>
          <w:trHeight w:val="10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Statistical Area 1</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Statistical Areas Level 1 (SA1) are geographical areas built from w</w:t>
            </w:r>
            <w:r>
              <w:rPr>
                <w:color w:val="4D4D4F"/>
                <w:sz w:val="16"/>
              </w:rPr>
              <w:t xml:space="preserve">hole Mesh </w:t>
            </w:r>
            <w:r>
              <w:rPr>
                <w:color w:val="4D4D4F"/>
                <w:spacing w:val="2"/>
                <w:sz w:val="16"/>
              </w:rPr>
              <w:t xml:space="preserve">Blocks.  </w:t>
            </w:r>
            <w:r>
              <w:rPr>
                <w:color w:val="4D4D4F"/>
                <w:sz w:val="16"/>
              </w:rPr>
              <w:t xml:space="preserve">Whole SA1s aggregate to form Statistical Areas Level 2 (SA2) in the Australian Statistical Geography Standard </w:t>
            </w:r>
            <w:r>
              <w:rPr>
                <w:color w:val="4D4D4F"/>
                <w:spacing w:val="2"/>
                <w:sz w:val="16"/>
              </w:rPr>
              <w:t xml:space="preserve">(ASGS) </w:t>
            </w:r>
            <w:r>
              <w:rPr>
                <w:color w:val="4D4D4F"/>
                <w:sz w:val="16"/>
              </w:rPr>
              <w:t xml:space="preserve">Main </w:t>
            </w:r>
            <w:r>
              <w:rPr>
                <w:color w:val="4D4D4F"/>
                <w:spacing w:val="2"/>
                <w:sz w:val="16"/>
              </w:rPr>
              <w:t xml:space="preserve">Structure. The </w:t>
            </w:r>
            <w:r>
              <w:rPr>
                <w:color w:val="4D4D4F"/>
                <w:sz w:val="16"/>
              </w:rPr>
              <w:t>SA1s have generally been designed as the smallest unit for the release of census data. SA1s have a p</w:t>
            </w:r>
            <w:r>
              <w:rPr>
                <w:color w:val="4D4D4F"/>
                <w:sz w:val="16"/>
              </w:rPr>
              <w:t xml:space="preserve">opulation of </w:t>
            </w:r>
            <w:r>
              <w:rPr>
                <w:color w:val="4D4D4F"/>
                <w:spacing w:val="2"/>
                <w:sz w:val="16"/>
              </w:rPr>
              <w:t xml:space="preserve">between </w:t>
            </w:r>
            <w:r>
              <w:rPr>
                <w:color w:val="4D4D4F"/>
                <w:sz w:val="16"/>
              </w:rPr>
              <w:t xml:space="preserve">200 and </w:t>
            </w:r>
            <w:r>
              <w:rPr>
                <w:color w:val="4D4D4F"/>
                <w:spacing w:val="3"/>
                <w:sz w:val="16"/>
              </w:rPr>
              <w:t xml:space="preserve">800 </w:t>
            </w:r>
            <w:r>
              <w:rPr>
                <w:color w:val="4D4D4F"/>
                <w:sz w:val="16"/>
              </w:rPr>
              <w:t xml:space="preserve">people with an average population size of approximately </w:t>
            </w:r>
            <w:r>
              <w:rPr>
                <w:color w:val="4D4D4F"/>
                <w:spacing w:val="3"/>
                <w:sz w:val="16"/>
              </w:rPr>
              <w:t>400</w:t>
            </w:r>
            <w:r>
              <w:rPr>
                <w:color w:val="4D4D4F"/>
                <w:spacing w:val="25"/>
                <w:sz w:val="16"/>
              </w:rPr>
              <w:t xml:space="preserve"> </w:t>
            </w:r>
            <w:r>
              <w:rPr>
                <w:color w:val="4D4D4F"/>
                <w:sz w:val="16"/>
              </w:rPr>
              <w:t>people.</w:t>
            </w:r>
          </w:p>
        </w:tc>
      </w:tr>
      <w:tr w:rsidR="00C77EBB">
        <w:trPr>
          <w:trHeight w:val="8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Statistical Area 2</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Statistical Areas Level 2 (SA2) are medium-sized general purpose areas built up from whole Statistical Areas Level 1. Their purpose is to represent a community that interacts together socially and economically. SA2s generally have a population range of 3,0</w:t>
            </w:r>
            <w:r>
              <w:rPr>
                <w:color w:val="4D4D4F"/>
                <w:sz w:val="16"/>
              </w:rPr>
              <w:t>00 to 25,000 persons.</w:t>
            </w:r>
          </w:p>
        </w:tc>
      </w:tr>
      <w:tr w:rsidR="00C77EBB">
        <w:trPr>
          <w:trHeight w:val="4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Swale</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A linear, depressed channel that collects and carries stormwater. They can be lined with grass or more densely vegetated and landscaped.</w:t>
            </w:r>
          </w:p>
        </w:tc>
      </w:tr>
      <w:tr w:rsidR="00C77EBB">
        <w:trPr>
          <w:trHeight w:val="8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Tonality</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 xml:space="preserve">Noise is </w:t>
            </w:r>
            <w:r>
              <w:rPr>
                <w:color w:val="4D4D4F"/>
                <w:spacing w:val="2"/>
                <w:sz w:val="16"/>
              </w:rPr>
              <w:t xml:space="preserve">subjectively </w:t>
            </w:r>
            <w:r>
              <w:rPr>
                <w:color w:val="4D4D4F"/>
                <w:sz w:val="16"/>
              </w:rPr>
              <w:t xml:space="preserve">more annoying when it has a tonal component (a perceptible hum    or whine). Tonality can be determined by </w:t>
            </w:r>
            <w:r>
              <w:rPr>
                <w:color w:val="4D4D4F"/>
                <w:spacing w:val="2"/>
                <w:sz w:val="16"/>
              </w:rPr>
              <w:t xml:space="preserve">subjective </w:t>
            </w:r>
            <w:r>
              <w:rPr>
                <w:color w:val="4D4D4F"/>
                <w:sz w:val="16"/>
              </w:rPr>
              <w:t xml:space="preserve">assessment or from one-third octave band analysis of the noise. Where a noise is tonal, an adjustment is made to allow for the additional </w:t>
            </w:r>
            <w:r>
              <w:rPr>
                <w:color w:val="4D4D4F"/>
                <w:sz w:val="16"/>
              </w:rPr>
              <w:t>annoyance caused by the</w:t>
            </w:r>
            <w:r>
              <w:rPr>
                <w:color w:val="4D4D4F"/>
                <w:spacing w:val="-1"/>
                <w:sz w:val="16"/>
              </w:rPr>
              <w:t xml:space="preserve"> </w:t>
            </w:r>
            <w:r>
              <w:rPr>
                <w:color w:val="4D4D4F"/>
                <w:sz w:val="16"/>
              </w:rPr>
              <w:t>tone.</w:t>
            </w:r>
          </w:p>
        </w:tc>
      </w:tr>
      <w:tr w:rsidR="00C77EBB">
        <w:trPr>
          <w:trHeight w:val="2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Terajoule</w:t>
            </w:r>
          </w:p>
        </w:tc>
        <w:tc>
          <w:tcPr>
            <w:tcW w:w="6852" w:type="dxa"/>
            <w:tcBorders>
              <w:top w:val="single" w:sz="18" w:space="0" w:color="D7D6C7"/>
              <w:bottom w:val="single" w:sz="18" w:space="0" w:color="D7D6C7"/>
            </w:tcBorders>
          </w:tcPr>
          <w:p w:rsidR="00C77EBB" w:rsidRDefault="00F51053">
            <w:pPr>
              <w:pStyle w:val="TableParagraph"/>
              <w:ind w:left="227"/>
              <w:rPr>
                <w:sz w:val="16"/>
              </w:rPr>
            </w:pPr>
            <w:r>
              <w:rPr>
                <w:color w:val="4D4D4F"/>
                <w:sz w:val="16"/>
              </w:rPr>
              <w:t>A measure of energy equal to one trillion joules.</w:t>
            </w:r>
          </w:p>
        </w:tc>
      </w:tr>
      <w:tr w:rsidR="00C77EBB">
        <w:trPr>
          <w:trHeight w:val="6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Trackout</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The transport of soil and sediment from the construction/demolition site onto the public road network, where it may be deposited and then re-suspended by vehicles using the network.</w:t>
            </w:r>
          </w:p>
        </w:tc>
      </w:tr>
      <w:tr w:rsidR="00C77EBB">
        <w:trPr>
          <w:trHeight w:val="2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Trenching</w:t>
            </w:r>
          </w:p>
        </w:tc>
        <w:tc>
          <w:tcPr>
            <w:tcW w:w="6852" w:type="dxa"/>
            <w:tcBorders>
              <w:top w:val="single" w:sz="18" w:space="0" w:color="D7D6C7"/>
              <w:bottom w:val="single" w:sz="18" w:space="0" w:color="D7D6C7"/>
            </w:tcBorders>
          </w:tcPr>
          <w:p w:rsidR="00C77EBB" w:rsidRDefault="00F51053">
            <w:pPr>
              <w:pStyle w:val="TableParagraph"/>
              <w:ind w:left="227"/>
              <w:rPr>
                <w:sz w:val="16"/>
              </w:rPr>
            </w:pPr>
            <w:r>
              <w:rPr>
                <w:color w:val="4D4D4F"/>
                <w:sz w:val="16"/>
              </w:rPr>
              <w:t>Excavation of a trench for burial of a pipeline.</w:t>
            </w:r>
          </w:p>
        </w:tc>
      </w:tr>
      <w:tr w:rsidR="00C77EBB">
        <w:trPr>
          <w:trHeight w:val="2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Trench water</w:t>
            </w:r>
          </w:p>
        </w:tc>
        <w:tc>
          <w:tcPr>
            <w:tcW w:w="6852" w:type="dxa"/>
            <w:tcBorders>
              <w:top w:val="single" w:sz="18" w:space="0" w:color="D7D6C7"/>
              <w:bottom w:val="single" w:sz="18" w:space="0" w:color="D7D6C7"/>
            </w:tcBorders>
          </w:tcPr>
          <w:p w:rsidR="00C77EBB" w:rsidRDefault="00F51053">
            <w:pPr>
              <w:pStyle w:val="TableParagraph"/>
              <w:ind w:left="227"/>
              <w:rPr>
                <w:sz w:val="16"/>
              </w:rPr>
            </w:pPr>
            <w:r>
              <w:rPr>
                <w:color w:val="4D4D4F"/>
                <w:sz w:val="16"/>
              </w:rPr>
              <w:t>Water (usually shallow groundwater, rainwater or runoff) in the pipeline trench.</w:t>
            </w:r>
          </w:p>
        </w:tc>
      </w:tr>
      <w:tr w:rsidR="00C77EBB">
        <w:trPr>
          <w:trHeight w:val="6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Tributyltin (TBT)</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An organotin compound used as a biocide in anti-fouling paint applied to ship hulls to preven</w:t>
            </w:r>
            <w:r>
              <w:rPr>
                <w:color w:val="4D4D4F"/>
                <w:sz w:val="16"/>
              </w:rPr>
              <w:t>t hull fouling and thereby decrease drag and fuel consumption. TBT appears to be highly toxic to non-target aquatic organisms and can be persistent in the environment.</w:t>
            </w:r>
          </w:p>
        </w:tc>
      </w:tr>
      <w:tr w:rsidR="00C77EBB">
        <w:trPr>
          <w:trHeight w:val="4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UNESCO biosphere reserve</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Areas comprising terrestrial, marine and coastal ecosystems. E</w:t>
            </w:r>
            <w:r>
              <w:rPr>
                <w:color w:val="4D4D4F"/>
                <w:sz w:val="16"/>
              </w:rPr>
              <w:t>ach reserve promotes solutions reconciling the conservation of biodiversity with its sustainable use.</w:t>
            </w:r>
          </w:p>
        </w:tc>
      </w:tr>
      <w:tr w:rsidR="00C77EBB">
        <w:trPr>
          <w:trHeight w:val="10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Urban Growth Boundary</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 xml:space="preserve">An urban growth boundary (UGB) is a regional boundary set with the aim of controlling urban sprawl. The UGB directs urban growth to areas best able to be supplied with appropriate infrastructure and services and protect other valuable peri-urban land (and </w:t>
            </w:r>
            <w:r>
              <w:rPr>
                <w:color w:val="4D4D4F"/>
                <w:sz w:val="16"/>
              </w:rPr>
              <w:t>environmental features) from urban development pressures. The UGB applies around the urban areas of metropolitan Melbourne.</w:t>
            </w:r>
          </w:p>
        </w:tc>
      </w:tr>
      <w:tr w:rsidR="00C77EBB">
        <w:trPr>
          <w:trHeight w:val="4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Vibration Dose Value (VDV)</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 xml:space="preserve">The VDV is a parameter that combines the magnitude of vibration and the duration for which it occurs to </w:t>
            </w:r>
            <w:r>
              <w:rPr>
                <w:color w:val="4D4D4F"/>
                <w:sz w:val="16"/>
              </w:rPr>
              <w:t>cumulatively quantify the level over an 8-hour or 16-hour period.</w:t>
            </w:r>
          </w:p>
        </w:tc>
      </w:tr>
      <w:tr w:rsidR="00C77EBB">
        <w:trPr>
          <w:trHeight w:val="2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View</w:t>
            </w:r>
          </w:p>
        </w:tc>
        <w:tc>
          <w:tcPr>
            <w:tcW w:w="6852" w:type="dxa"/>
            <w:tcBorders>
              <w:top w:val="single" w:sz="18" w:space="0" w:color="D7D6C7"/>
              <w:bottom w:val="single" w:sz="18" w:space="0" w:color="D7D6C7"/>
            </w:tcBorders>
          </w:tcPr>
          <w:p w:rsidR="00C77EBB" w:rsidRDefault="00F51053">
            <w:pPr>
              <w:pStyle w:val="TableParagraph"/>
              <w:ind w:left="227"/>
              <w:rPr>
                <w:sz w:val="16"/>
              </w:rPr>
            </w:pPr>
            <w:r>
              <w:rPr>
                <w:color w:val="4D4D4F"/>
                <w:sz w:val="16"/>
              </w:rPr>
              <w:t>A sight or prospect of some landscape, scene, etc.</w:t>
            </w:r>
          </w:p>
        </w:tc>
      </w:tr>
      <w:tr w:rsidR="00C77EBB">
        <w:trPr>
          <w:trHeight w:val="4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Visualisation</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53"/>
              <w:rPr>
                <w:sz w:val="16"/>
              </w:rPr>
            </w:pPr>
            <w:r>
              <w:rPr>
                <w:color w:val="4D4D4F"/>
                <w:sz w:val="16"/>
              </w:rPr>
              <w:t>A representation of the proposed development which superimposes an image of a proposed development upon a photograph or a series of photographs.</w:t>
            </w:r>
          </w:p>
        </w:tc>
      </w:tr>
      <w:tr w:rsidR="00C77EBB">
        <w:trPr>
          <w:trHeight w:val="4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Visual receptor</w:t>
            </w:r>
          </w:p>
        </w:tc>
        <w:tc>
          <w:tcPr>
            <w:tcW w:w="6852" w:type="dxa"/>
            <w:tcBorders>
              <w:top w:val="single" w:sz="18" w:space="0" w:color="D7D6C7"/>
              <w:bottom w:val="single" w:sz="18" w:space="0" w:color="D7D6C7"/>
            </w:tcBorders>
          </w:tcPr>
          <w:p w:rsidR="00C77EBB" w:rsidRDefault="00F51053">
            <w:pPr>
              <w:pStyle w:val="TableParagraph"/>
              <w:spacing w:line="209" w:lineRule="exact"/>
              <w:ind w:left="227"/>
              <w:rPr>
                <w:sz w:val="16"/>
              </w:rPr>
            </w:pPr>
            <w:r>
              <w:rPr>
                <w:color w:val="4D4D4F"/>
                <w:sz w:val="16"/>
              </w:rPr>
              <w:t>Individual and/or defined groups of people who have the potential to be affected by a</w:t>
            </w:r>
          </w:p>
          <w:p w:rsidR="00C77EBB" w:rsidRDefault="00F51053">
            <w:pPr>
              <w:pStyle w:val="TableParagraph"/>
              <w:spacing w:before="0" w:line="209" w:lineRule="exact"/>
              <w:ind w:left="227"/>
              <w:rPr>
                <w:sz w:val="16"/>
              </w:rPr>
            </w:pPr>
            <w:r>
              <w:rPr>
                <w:color w:val="4D4D4F"/>
                <w:sz w:val="16"/>
              </w:rPr>
              <w:t>proposal</w:t>
            </w:r>
            <w:r>
              <w:rPr>
                <w:color w:val="4D4D4F"/>
                <w:sz w:val="16"/>
              </w:rPr>
              <w:t>.</w:t>
            </w:r>
          </w:p>
        </w:tc>
      </w:tr>
      <w:tr w:rsidR="00C77EBB">
        <w:trPr>
          <w:trHeight w:val="686"/>
        </w:trPr>
        <w:tc>
          <w:tcPr>
            <w:tcW w:w="2540" w:type="dxa"/>
            <w:tcBorders>
              <w:top w:val="single" w:sz="18" w:space="0" w:color="D7D6C7"/>
              <w:bottom w:val="single" w:sz="18" w:space="0" w:color="D7D6C7"/>
            </w:tcBorders>
          </w:tcPr>
          <w:p w:rsidR="00C77EBB" w:rsidRDefault="00F51053">
            <w:pPr>
              <w:pStyle w:val="TableParagraph"/>
              <w:spacing w:before="35" w:line="220" w:lineRule="auto"/>
              <w:rPr>
                <w:sz w:val="16"/>
              </w:rPr>
            </w:pPr>
            <w:r>
              <w:rPr>
                <w:color w:val="4D4D4F"/>
                <w:sz w:val="16"/>
              </w:rPr>
              <w:t>Victorian Transmission System (VTS)</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143"/>
              <w:rPr>
                <w:sz w:val="16"/>
              </w:rPr>
            </w:pPr>
            <w:r>
              <w:rPr>
                <w:color w:val="4D4D4F"/>
                <w:spacing w:val="2"/>
                <w:sz w:val="16"/>
              </w:rPr>
              <w:t xml:space="preserve">The </w:t>
            </w:r>
            <w:r>
              <w:rPr>
                <w:color w:val="4D4D4F"/>
                <w:spacing w:val="5"/>
                <w:sz w:val="16"/>
              </w:rPr>
              <w:t xml:space="preserve">VTS </w:t>
            </w:r>
            <w:r>
              <w:rPr>
                <w:color w:val="4D4D4F"/>
                <w:sz w:val="16"/>
              </w:rPr>
              <w:t xml:space="preserve">comprises approximately </w:t>
            </w:r>
            <w:r>
              <w:rPr>
                <w:color w:val="4D4D4F"/>
                <w:spacing w:val="2"/>
                <w:sz w:val="16"/>
              </w:rPr>
              <w:t xml:space="preserve">1,992 kilometres </w:t>
            </w:r>
            <w:r>
              <w:rPr>
                <w:color w:val="4D4D4F"/>
                <w:sz w:val="16"/>
              </w:rPr>
              <w:t xml:space="preserve">of pipelines which </w:t>
            </w:r>
            <w:r>
              <w:rPr>
                <w:color w:val="4D4D4F"/>
                <w:spacing w:val="2"/>
                <w:sz w:val="16"/>
              </w:rPr>
              <w:t xml:space="preserve">transport </w:t>
            </w:r>
            <w:r>
              <w:rPr>
                <w:color w:val="4D4D4F"/>
                <w:sz w:val="16"/>
              </w:rPr>
              <w:t xml:space="preserve">gas from various inlet points to load centres through </w:t>
            </w:r>
            <w:r>
              <w:rPr>
                <w:color w:val="4D4D4F"/>
                <w:spacing w:val="2"/>
                <w:sz w:val="16"/>
              </w:rPr>
              <w:t xml:space="preserve">Victoria. </w:t>
            </w:r>
            <w:r>
              <w:rPr>
                <w:color w:val="4D4D4F"/>
                <w:sz w:val="16"/>
              </w:rPr>
              <w:t xml:space="preserve">Almost all the natural gas consumed   in </w:t>
            </w:r>
            <w:r>
              <w:rPr>
                <w:color w:val="4D4D4F"/>
                <w:spacing w:val="2"/>
                <w:sz w:val="16"/>
              </w:rPr>
              <w:t xml:space="preserve">Victoria </w:t>
            </w:r>
            <w:r>
              <w:rPr>
                <w:color w:val="4D4D4F"/>
                <w:sz w:val="16"/>
              </w:rPr>
              <w:t xml:space="preserve">is </w:t>
            </w:r>
            <w:r>
              <w:rPr>
                <w:color w:val="4D4D4F"/>
                <w:spacing w:val="2"/>
                <w:sz w:val="16"/>
              </w:rPr>
              <w:t xml:space="preserve">transported </w:t>
            </w:r>
            <w:r>
              <w:rPr>
                <w:color w:val="4D4D4F"/>
                <w:sz w:val="16"/>
              </w:rPr>
              <w:t>through the</w:t>
            </w:r>
            <w:r>
              <w:rPr>
                <w:color w:val="4D4D4F"/>
                <w:spacing w:val="-3"/>
                <w:sz w:val="16"/>
              </w:rPr>
              <w:t xml:space="preserve"> </w:t>
            </w:r>
            <w:r>
              <w:rPr>
                <w:color w:val="4D4D4F"/>
                <w:spacing w:val="5"/>
                <w:sz w:val="16"/>
              </w:rPr>
              <w:t>VTS.</w:t>
            </w:r>
          </w:p>
        </w:tc>
      </w:tr>
      <w:tr w:rsidR="00C77EBB">
        <w:trPr>
          <w:trHeight w:val="1086"/>
        </w:trPr>
        <w:tc>
          <w:tcPr>
            <w:tcW w:w="2540" w:type="dxa"/>
            <w:tcBorders>
              <w:top w:val="single" w:sz="18" w:space="0" w:color="D7D6C7"/>
              <w:bottom w:val="single" w:sz="18" w:space="0" w:color="D7D6C7"/>
            </w:tcBorders>
          </w:tcPr>
          <w:p w:rsidR="00C77EBB" w:rsidRDefault="00F51053">
            <w:pPr>
              <w:pStyle w:val="TableParagraph"/>
              <w:rPr>
                <w:sz w:val="16"/>
              </w:rPr>
            </w:pPr>
            <w:r>
              <w:rPr>
                <w:color w:val="4D4D4F"/>
                <w:sz w:val="16"/>
              </w:rPr>
              <w:t>Western Port Ramsar site</w:t>
            </w:r>
          </w:p>
        </w:tc>
        <w:tc>
          <w:tcPr>
            <w:tcW w:w="6852" w:type="dxa"/>
            <w:tcBorders>
              <w:top w:val="single" w:sz="18" w:space="0" w:color="D7D6C7"/>
              <w:bottom w:val="single" w:sz="18" w:space="0" w:color="D7D6C7"/>
            </w:tcBorders>
          </w:tcPr>
          <w:p w:rsidR="00C77EBB" w:rsidRDefault="00F51053">
            <w:pPr>
              <w:pStyle w:val="TableParagraph"/>
              <w:spacing w:before="35" w:line="220" w:lineRule="auto"/>
              <w:ind w:left="227" w:right="201"/>
              <w:rPr>
                <w:sz w:val="16"/>
              </w:rPr>
            </w:pPr>
            <w:r>
              <w:rPr>
                <w:color w:val="4D4D4F"/>
                <w:spacing w:val="2"/>
                <w:sz w:val="16"/>
              </w:rPr>
              <w:t xml:space="preserve">The </w:t>
            </w:r>
            <w:r>
              <w:rPr>
                <w:color w:val="4D4D4F"/>
                <w:sz w:val="16"/>
              </w:rPr>
              <w:t xml:space="preserve">Western </w:t>
            </w:r>
            <w:r>
              <w:rPr>
                <w:color w:val="4D4D4F"/>
                <w:spacing w:val="2"/>
                <w:sz w:val="16"/>
              </w:rPr>
              <w:t xml:space="preserve">Port </w:t>
            </w:r>
            <w:r>
              <w:rPr>
                <w:color w:val="4D4D4F"/>
                <w:sz w:val="16"/>
              </w:rPr>
              <w:t xml:space="preserve">Ramsar site occupies 59,297 </w:t>
            </w:r>
            <w:r>
              <w:rPr>
                <w:color w:val="4D4D4F"/>
                <w:spacing w:val="2"/>
                <w:sz w:val="16"/>
              </w:rPr>
              <w:t xml:space="preserve">hectares </w:t>
            </w:r>
            <w:r>
              <w:rPr>
                <w:color w:val="4D4D4F"/>
                <w:sz w:val="16"/>
              </w:rPr>
              <w:t xml:space="preserve">and consists of large shallow </w:t>
            </w:r>
            <w:r>
              <w:rPr>
                <w:color w:val="4D4D4F"/>
                <w:spacing w:val="2"/>
                <w:sz w:val="16"/>
              </w:rPr>
              <w:t xml:space="preserve">intertidal </w:t>
            </w:r>
            <w:r>
              <w:rPr>
                <w:color w:val="4D4D4F"/>
                <w:sz w:val="16"/>
              </w:rPr>
              <w:t xml:space="preserve">areas </w:t>
            </w:r>
            <w:r>
              <w:rPr>
                <w:color w:val="4D4D4F"/>
                <w:spacing w:val="2"/>
                <w:sz w:val="16"/>
              </w:rPr>
              <w:t xml:space="preserve">dissected </w:t>
            </w:r>
            <w:r>
              <w:rPr>
                <w:color w:val="4D4D4F"/>
                <w:sz w:val="16"/>
              </w:rPr>
              <w:t xml:space="preserve">by deeper channels, and a narrow </w:t>
            </w:r>
            <w:r>
              <w:rPr>
                <w:color w:val="4D4D4F"/>
                <w:spacing w:val="2"/>
                <w:sz w:val="16"/>
              </w:rPr>
              <w:t xml:space="preserve">strip </w:t>
            </w:r>
            <w:r>
              <w:rPr>
                <w:color w:val="4D4D4F"/>
                <w:sz w:val="16"/>
              </w:rPr>
              <w:t xml:space="preserve">of adjacent coastal land in some areas. </w:t>
            </w:r>
            <w:r>
              <w:rPr>
                <w:color w:val="4D4D4F"/>
                <w:spacing w:val="2"/>
                <w:sz w:val="16"/>
              </w:rPr>
              <w:t xml:space="preserve">The </w:t>
            </w:r>
            <w:r>
              <w:rPr>
                <w:color w:val="4D4D4F"/>
                <w:sz w:val="16"/>
              </w:rPr>
              <w:t xml:space="preserve">site was designated as a wetland of international </w:t>
            </w:r>
            <w:r>
              <w:rPr>
                <w:color w:val="4D4D4F"/>
                <w:spacing w:val="2"/>
                <w:sz w:val="16"/>
              </w:rPr>
              <w:t xml:space="preserve">importance </w:t>
            </w:r>
            <w:r>
              <w:rPr>
                <w:color w:val="4D4D4F"/>
                <w:sz w:val="16"/>
              </w:rPr>
              <w:t xml:space="preserve">under  the Convention on Wetlands of International </w:t>
            </w:r>
            <w:r>
              <w:rPr>
                <w:color w:val="4D4D4F"/>
                <w:spacing w:val="2"/>
                <w:sz w:val="16"/>
              </w:rPr>
              <w:t xml:space="preserve">Importance </w:t>
            </w:r>
            <w:r>
              <w:rPr>
                <w:color w:val="4D4D4F"/>
                <w:sz w:val="16"/>
              </w:rPr>
              <w:t xml:space="preserve">especially as Waterfowl </w:t>
            </w:r>
            <w:r>
              <w:rPr>
                <w:color w:val="4D4D4F"/>
                <w:spacing w:val="2"/>
                <w:sz w:val="16"/>
              </w:rPr>
              <w:t xml:space="preserve">Habitat </w:t>
            </w:r>
            <w:r>
              <w:rPr>
                <w:color w:val="4D4D4F"/>
                <w:sz w:val="16"/>
              </w:rPr>
              <w:t>(Ramsar Convention</w:t>
            </w:r>
            <w:r>
              <w:rPr>
                <w:color w:val="4D4D4F"/>
                <w:sz w:val="16"/>
              </w:rPr>
              <w:t>) in 1982.</w:t>
            </w:r>
          </w:p>
        </w:tc>
      </w:tr>
    </w:tbl>
    <w:p w:rsidR="00F51053" w:rsidRDefault="00F51053"/>
    <w:sectPr w:rsidR="00F51053">
      <w:pgSz w:w="11910" w:h="16840"/>
      <w:pgMar w:top="740" w:right="114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unito Sans">
    <w:altName w:val="Nunito Sans"/>
    <w:panose1 w:val="00000500000000000000"/>
    <w:charset w:val="00"/>
    <w:family w:val="auto"/>
    <w:pitch w:val="variable"/>
    <w:sig w:usb0="20000007" w:usb1="00000001" w:usb2="00000000" w:usb3="00000000" w:csb0="00000193" w:csb1="00000000"/>
    <w:embedRegular r:id="rId1" w:fontKey="{99FC8273-DDC3-49D3-812A-D7927752DE71}"/>
    <w:embedBold r:id="rId2" w:fontKey="{F8F2C542-281E-496C-8976-EA2541A6C40A}"/>
    <w:embedItalic r:id="rId3" w:fontKey="{22651109-2ADD-463D-B235-C8B5A7680CD9}"/>
  </w:font>
  <w:font w:name="Mukta SemiBold">
    <w:altName w:val="Mukta SemiBold"/>
    <w:panose1 w:val="020B0000000000000000"/>
    <w:charset w:val="00"/>
    <w:family w:val="swiss"/>
    <w:pitch w:val="variable"/>
    <w:sig w:usb0="A000802F" w:usb1="4000204B" w:usb2="00000000" w:usb3="00000000" w:csb0="00000093" w:csb1="00000000"/>
    <w:embedBold r:id="rId4" w:subsetted="1" w:fontKey="{34DAAA83-E8CB-42A4-8171-3A7EF8DAA9ED}"/>
  </w:font>
  <w:font w:name="Nunito Sans SemiBold">
    <w:altName w:val="Nunito Sans SemiBold"/>
    <w:panose1 w:val="00000700000000000000"/>
    <w:charset w:val="00"/>
    <w:family w:val="auto"/>
    <w:pitch w:val="variable"/>
    <w:sig w:usb0="20000007" w:usb1="00000001" w:usb2="00000000" w:usb3="00000000" w:csb0="00000193" w:csb1="00000000"/>
    <w:embedBold r:id="rId5" w:subsetted="1" w:fontKey="{CB293D9A-0C47-459A-885E-087C35D9613D}"/>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TrueTypeFonts/>
  <w:saveSubsetFonts/>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C77EBB"/>
    <w:rsid w:val="00C77EBB"/>
    <w:rsid w:val="00D15047"/>
    <w:rsid w:val="00F510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10"/>
    <o:shapelayout v:ext="edit">
      <o:idmap v:ext="edit" data="1"/>
    </o:shapelayout>
  </w:shapeDefaults>
  <w:decimalSymbol w:val="."/>
  <w:listSeparator w:val=","/>
  <w15:docId w15:val="{FCC2C3CC-E172-4901-9638-CE763127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Nunito Sans" w:eastAsia="Nunito Sans" w:hAnsi="Nunito Sans" w:cs="Nunito Sans"/>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21"/>
      <w:ind w:left="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70E9C1A58DF4BAA6B9FA7D9006C30" ma:contentTypeVersion="0" ma:contentTypeDescription="Create a new document." ma:contentTypeScope="" ma:versionID="42dd19d9b5bf8bd6a754160bafb8743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6328DD-C03E-4B1D-A7EC-3CE77431E20D}"/>
</file>

<file path=customXml/itemProps2.xml><?xml version="1.0" encoding="utf-8"?>
<ds:datastoreItem xmlns:ds="http://schemas.openxmlformats.org/officeDocument/2006/customXml" ds:itemID="{E71C9BE9-418D-499D-922B-9D2982249C2B}"/>
</file>

<file path=customXml/itemProps3.xml><?xml version="1.0" encoding="utf-8"?>
<ds:datastoreItem xmlns:ds="http://schemas.openxmlformats.org/officeDocument/2006/customXml" ds:itemID="{E9B8BA9B-2DEB-4418-BC0B-7DFED0A09098}"/>
</file>

<file path=docProps/app.xml><?xml version="1.0" encoding="utf-8"?>
<Properties xmlns="http://schemas.openxmlformats.org/officeDocument/2006/extended-properties" xmlns:vt="http://schemas.openxmlformats.org/officeDocument/2006/docPropsVTypes">
  <Template>Normal.dotm</Template>
  <TotalTime>0</TotalTime>
  <Pages>14</Pages>
  <Words>5005</Words>
  <Characters>28531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Gas Import Jetty and Pipeline EES | Volume 1 | Chapter 0</vt:lpstr>
    </vt:vector>
  </TitlesOfParts>
  <Company/>
  <LinksUpToDate>false</LinksUpToDate>
  <CharactersWithSpaces>33470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 Import Jetty and Pipeline EES | Volume 1 | Chapter 0</dc:title>
  <cp:lastModifiedBy>Chuah, Teasheen</cp:lastModifiedBy>
  <cp:revision>2</cp:revision>
  <dcterms:created xsi:type="dcterms:W3CDTF">2020-06-23T12:30:00Z</dcterms:created>
  <dcterms:modified xsi:type="dcterms:W3CDTF">2020-07-07T03:21:00Z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Adobe InDesign 14.0 (Windows)</vt:lpwstr>
  </property>
  <property fmtid="{D5CDD505-2E9C-101B-9397-08002B2CF9AE}" pid="4" name="LastSaved">
    <vt:filetime>2020-06-23T00:00:00Z</vt:filetime>
  </property>
  <property fmtid="{D5CDD505-2E9C-101B-9397-08002B2CF9AE}" pid="5" name="ContentTypeId">
    <vt:lpwstr>0x01010006B70E9C1A58DF4BAA6B9FA7D9006C30</vt:lpwstr>
  </property>
</Properties>
</file>